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84"/>
        </w:rPr>
        <w:t xml:space="preserve">招 标 文 件</w:t>
      </w:r>
      <w:r/>
    </w:p>
    <w:p>
      <w:pPr>
        <w:ind w:left="0" w:right="0" w:firstLine="2240"/>
        <w:jc w:val="both"/>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2240"/>
        <w:jc w:val="both"/>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2240"/>
        <w:jc w:val="both"/>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64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rPr>
          <w:rFonts w:ascii="SimSun" w:hAnsi="SimSun" w:eastAsia="SimSun" w:cs="SimSun"/>
          <w:color w:val="000000"/>
          <w:sz w:val="32"/>
        </w:rPr>
        <w:t xml:space="preserve">项目名称：</w:t>
      </w:r>
      <w:r>
        <w:rPr>
          <w:rFonts w:ascii="Arial" w:hAnsi="Arial" w:eastAsia="Arial" w:cs="Arial"/>
          <w:color w:val="000000"/>
          <w:sz w:val="32"/>
        </w:rPr>
        <w:t xml:space="preserve">2025</w:t>
      </w:r>
      <w:r>
        <w:rPr>
          <w:rFonts w:ascii="SimSun" w:hAnsi="SimSun" w:eastAsia="SimSun" w:cs="SimSun"/>
          <w:color w:val="000000"/>
          <w:sz w:val="32"/>
        </w:rPr>
        <w:t xml:space="preserve">年盐城市大丰区城市管理局违法建设等拆除、市容整治项目（二次）</w:t>
      </w:r>
      <w:r/>
    </w:p>
    <w:p>
      <w:pPr>
        <w:ind w:left="0" w:right="0" w:firstLine="64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项目编号：JSZC-320904-YCTZ-G2025-0005</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64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招  标 人：</w:t>
      </w:r>
      <w:r>
        <w:rPr>
          <w:rFonts w:ascii="SimSun" w:hAnsi="SimSun" w:eastAsia="SimSun" w:cs="SimSun"/>
          <w:color w:val="000000"/>
          <w:sz w:val="32"/>
          <w:u w:val="single"/>
        </w:rPr>
        <w:t xml:space="preserve">盐城市大丰区城市管理局</w:t>
      </w:r>
      <w:r/>
    </w:p>
    <w:p>
      <w:pPr>
        <w:ind w:left="0" w:right="0" w:firstLine="64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招标代理机构：</w:t>
      </w:r>
      <w:r>
        <w:rPr>
          <w:rFonts w:ascii="SimSun" w:hAnsi="SimSun" w:eastAsia="SimSun" w:cs="SimSun"/>
          <w:color w:val="000000"/>
          <w:sz w:val="32"/>
          <w:u w:val="single"/>
        </w:rPr>
        <w:t xml:space="preserve">盐城市同洲工程咨询有限公司</w:t>
      </w:r>
      <w:r/>
    </w:p>
    <w:p>
      <w:pPr>
        <w:ind w:left="0" w:right="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2025年11月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第一章  招标公告</w:t>
      </w:r>
      <w:r/>
    </w:p>
    <w:p>
      <w:pPr>
        <w:ind w:left="0" w:right="0" w:firstLine="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rPr>
        <w:t xml:space="preserve">项目概况：</w:t>
      </w:r>
      <w:r/>
    </w:p>
    <w:p>
      <w:pPr>
        <w:ind w:left="0" w:right="0" w:firstLine="48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2025年盐城市大丰区城市管理局违法建设等拆除、市容整治项目（二次）JSZC-320904-YCTZ-G2025-0005</w:t>
      </w:r>
      <w:r>
        <w:rPr>
          <w:rFonts w:ascii="SimSun" w:hAnsi="SimSun" w:eastAsia="SimSun" w:cs="SimSun"/>
          <w:color w:val="000000"/>
          <w:sz w:val="24"/>
        </w:rPr>
        <w:t xml:space="preserve">招标项目的潜在投标人应在“苏采云”系统内免费下载（投标人必须在苏采云系统中获取采购文件，方能参与政府采购项目）获取招标文件，并于</w:t>
      </w:r>
      <w:r>
        <w:rPr>
          <w:rFonts w:ascii="SimSun" w:hAnsi="SimSun" w:eastAsia="SimSun" w:cs="SimSun"/>
          <w:color w:val="000000"/>
          <w:sz w:val="24"/>
          <w:u w:val="single"/>
        </w:rPr>
        <w:t xml:space="preserve">2025-11-28  9：00 </w:t>
      </w:r>
      <w:r>
        <w:rPr>
          <w:rFonts w:ascii="SimSun" w:hAnsi="SimSun" w:eastAsia="SimSun" w:cs="SimSun"/>
          <w:color w:val="000000"/>
          <w:sz w:val="24"/>
        </w:rPr>
        <w:t xml:space="preserve">（北京时间）前递交投标文件。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项目编号：JSZC-320904-YCTZ-G2025-0005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项目名称：2025年盐城市大丰区城市管理局违法建设等拆除、市容整治项目（二次）。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预算金额：100万元，本项目投报综合优惠率，优惠率报价：0≤优惠率≤100%。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本项目各类子项的结算价=招标最高限价*(1-中标优惠率）*双方确认的工作量。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最高限价：本项目最高投标费率为100%，投标费率高于最高投标费率的按无效标处理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采购需求：包含拆除其他新增或旧有违法房屋、构筑物、建筑物等内容；同时负责拆后的垃圾清运与恢复工作，做到场清地平、恢复原貌。</w:t>
      </w:r>
      <w:r/>
    </w:p>
    <w:p>
      <w:pPr>
        <w:ind w:left="0" w:right="0" w:firstLine="480"/>
        <w:jc w:val="both"/>
        <w:spacing w:before="0" w:after="0" w:line="49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合同履行期限：自合同签订之日起1年。</w:t>
      </w:r>
      <w:r/>
    </w:p>
    <w:p>
      <w:pPr>
        <w:ind w:left="0" w:right="0" w:firstLine="47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本项目（是/否）接受联合体：否。</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2.上一年度的财务状况报表（成立不满一年无需提供）；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8.单位负责人为同一人或者存在直接控股、管理关系的不同供应商，不得参加同一合同项下的政府采购活动。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1.落实政府采购政策需满足的资格要求：无。</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1.本项目的特定资格要求：无</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2.地点：“苏采云”系统内免费下载（投标人必须在苏采云系统中获取采购文件，方能参与政府采购项目）。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2025- 11- 28  9:00 （北京时间）。</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56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2.方式：本项目采用网上注册登记方式。</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潜在供应商访问电子招标响应交易平台的网络地址和方法：</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 数字证书”--CA 绑定与登录--参与投 标--下载采购文件（后缀名为“.kedt”）--将后缀名为“.kedt”的采购文件导入政府采购客户端工具--制作投标文件--导出加密的投标文件（后缀名为 zip）--通过“苏采云”系统上传投标文件。具体见《“苏采云”系统供应商操作手册》 （手册下载地址：苏采云系统-右侧消息通知栏）。 </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2.2潜在投标人访问“苏采云”系统方法：江苏省政府采购网首页-“苏采云”链接。 </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2.3采购文件（后缀名为“.kedt”）、供应商操作手册及政府采购客户端 工具可通过“苏采云”系统相应链接进行下载。 </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2.4采购代理机构将数据电文形式的采购文件加载至“苏采云”系统，供潜在供应商下载或者查阅。</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2.5请潜在投标单位提前安装相应的控件（详见《“苏采云”系统供应商操作手册》）并使用谷歌浏览器登录“苏采云”系统参与不见面开评标。</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3.有关本次招标的事项若存在变动或修改，敬请及时关注盐城市政府采购中心在“中国政府采购网”、“江苏政府采购网”、“盐城市政府采购网”发布的更正公告。</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4.本次招标不收取投标保证金，不收取质量保证金。</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七、凡对本次采购提出询问，请按以下方式联系。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名称：盐城市大丰区城市管理局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联系地址：城市大丰区常新南路7号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联系人：王先生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联系方式：18051696913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称：盐城市同洲工程咨询有限公司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联系地址：大丰区常新南路上海花园18幢104号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联系方式：13645100506</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项目联系人：乔军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话：13645100506</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Arial" w:hAnsi="Arial" w:eastAsia="Arial" w:cs="Arial"/>
          <w:color w:val="000000"/>
          <w:sz w:val="44"/>
        </w:rPr>
        <w:t xml:space="preserve">第二章  </w:t>
      </w:r>
      <w:r>
        <w:rPr>
          <w:rFonts w:ascii="SimHei" w:hAnsi="SimHei" w:eastAsia="SimHei" w:cs="SimHei"/>
          <w:color w:val="000000"/>
          <w:sz w:val="44"/>
        </w:rPr>
        <w:t xml:space="preserve">投标人须知</w:t>
      </w:r>
      <w:r/>
    </w:p>
    <w:p>
      <w:pPr>
        <w:ind w:left="420" w:right="0" w:firstLine="0"/>
        <w:jc w:val="center"/>
        <w:spacing w:before="0" w:after="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2、合格的投标人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3、适用法律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投标人应自行承担所有与参加投标有关的费用，无论投标过程中的做法和结果如何，采购人和盐城市同洲工程咨询有限公司在任何情况下均无义务和责任承担这些费用。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本次招标代理机构和采购人不收取标书工本费。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5、招标文件的约束力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请仔细检查招标文件是否齐全，如有缺漏请立即与招标人联系解决。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7、招标文件的澄清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前按招标公告中的通讯地址，以书面形式通知招标代理机构。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在投标截止时间前，招标人可以对招标文件进行修改。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招标人有权按照法定的要求推迟投标截止日期和开标日期。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8.3招标文件的修改将在中国政府采购网、江苏政府采购网、盐城市政府采购网公布，补充文件将作为招标文件的组成部分，并对投标人具有约束力。</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投标人提交的投标文件以及投标人与招标人就有关投标的所有来往通知、函件和文件均应使用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10、投标文件构成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10.2如标书制作工具中格式和内容与“中国政府采购网”、“江苏政府采购网”、“盐城市政府采购网</w:t>
      </w:r>
      <w:r>
        <w:rPr>
          <w:rFonts w:ascii="SimSun" w:hAnsi="SimSun" w:eastAsia="SimSun" w:cs="SimSun"/>
          <w:color w:val="000000"/>
          <w:sz w:val="28"/>
        </w:rPr>
        <w:t xml:space="preserve">”</w:t>
      </w:r>
      <w:r>
        <w:rPr>
          <w:rFonts w:ascii="SimSun" w:hAnsi="SimSun" w:eastAsia="SimSun" w:cs="SimSun"/>
          <w:color w:val="000000"/>
          <w:sz w:val="24"/>
        </w:rPr>
        <w:t xml:space="preserve">发布的招标文件不一致，请以中国政府采购网”、“江苏政府采购网”、“盐城市政府采购网</w:t>
      </w:r>
      <w:r>
        <w:rPr>
          <w:rFonts w:ascii="SimSun" w:hAnsi="SimSun" w:eastAsia="SimSun" w:cs="SimSun"/>
          <w:color w:val="000000"/>
          <w:sz w:val="28"/>
        </w:rPr>
        <w:t xml:space="preserve">”</w:t>
      </w:r>
      <w:r>
        <w:rPr>
          <w:rFonts w:ascii="SimSun" w:hAnsi="SimSun" w:eastAsia="SimSun" w:cs="SimSun"/>
          <w:color w:val="000000"/>
          <w:sz w:val="24"/>
        </w:rPr>
        <w:t xml:space="preserve">发布的招标文件为准。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11、证明投标人及投标标的符合招标文件规定的文件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11.1投标人应按照招标文件要求提交证明文件，证明其及投标标的符合招标文件规定。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12.3本项目采用费率（%）报价，开标一览表、投标分项报价表的报价一律用费率报价（%）填报。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15.1投标有效期为采购人规定的开标之日后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17、电子投标文件的递交</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18、投标截止日期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18.2招标人可以按照规定，通过修改招标文件酌情延长投标截止日期，在此情况下，投标人的所有权利和义务以及投标人受制的截止日期均应以延长后新的截止日期为准。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招标人拒绝接收在其规定的投标截止时间后上传的任何投标文件。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20、投标文件的撤回和修改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20.1.2投标人撤回电子投标文件，则认为其不再参与本项目投标活动。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21、开标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21.1招标人将在招标公告中规定的时间和地点组织公开开标。投标人应当按照《操作手册》规定，参加开标活动和在苏采云系统规定的时间内对投标文件进行解密。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21.2开标仪式由招标人或招标代理机构组织。苏采云系统将自动对项目进行开标，并宣布各投标人名称和投标价格。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22、评标委员会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22.1开标后，招标人将立即组织评标委员会（以下简称评委会）进行评标。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22.3评委会独立工作，负责评审所有投标文件并确定中标侯选人。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23.1凡是与审查、澄清、评价和比较投标的有关资料以及授标建议等，采购人、评委、招标代理机构均不得向投标人或与评标无关的其他人员透露。</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23.3招标人和评标委员会不向未中标的投标人解释未中标原因，也不公布评标过程中的相关细节。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24．投标文件的澄清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24.3接到评委会澄清、说明和补正要求的投标人如未按规定做出澄清、说明和补正，其风险由投标人自行承担。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25、对投标文件的初审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25.1.3未通过资格审查或符合性审查的投标人，招标代理将在苏采云系统中告知未通过资格审查或符合性审查的原因，评审结束后，招标代理将不再告知未通过资格审查或符合性审查的原因。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25.4评委会将对确定为实质性响应的投标进行进一步审核，看其是否有计算上或累加上的算术错误，修正错误的原则如下：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26.6投标人在开、评标全过程中应保持通讯畅通，及时登录苏采云系统查阅、答复相关信息，并安排专人与招标代理机构及评标委员会联系。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26、无效投标条款和废标条款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26.1.1投标人在苏采云系统规定的时间内未成功解密电子投标文件的。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26.1.2投标人未按照招标文件要求上传电子投标文件的。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26.1.6投标人报价改变了最高价格。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26.1.7未通过符合性审查的。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 投标文件含有采购人不能接受的附加条件的。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26.1.12投标文件未按照招标文件要求加盖CA电子公章的。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26.1.13其他法律、法规及本招标文件规定的属无效投标的情形。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26.2.5因苏采云系统系统故障原因造成开标不成功的。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27、确定中标单位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27.3招标代理机构将在中国政府采购网”、“江苏政府采购网”、“盐城市政府采购网</w:t>
      </w:r>
      <w:r>
        <w:rPr>
          <w:rFonts w:ascii="SimSun" w:hAnsi="SimSun" w:eastAsia="SimSun" w:cs="SimSun"/>
          <w:color w:val="000000"/>
          <w:sz w:val="28"/>
        </w:rPr>
        <w:t xml:space="preserve">”</w:t>
      </w:r>
      <w:r>
        <w:rPr>
          <w:rFonts w:ascii="SimSun" w:hAnsi="SimSun" w:eastAsia="SimSun" w:cs="SimSun"/>
          <w:color w:val="000000"/>
          <w:sz w:val="24"/>
        </w:rPr>
        <w:t xml:space="preserve">发布中标公告，公告期限为1个工作日。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27.4.2向采购人、招标代理机构行贿或者提供其他不正当利益的。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27.5.有下列情形之一的，视为投标人串通投标，投标无效：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28、质疑处理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br/>
        <w:t xml:space="preserve">   28.2.2对采购过程提出质疑的，为各采购程序环节结束之日；</w:t>
        <w:br/>
        <w:t xml:space="preserve">   28.2.3对中标或者成交结果提出质疑的，为中标或者成交结果公告期限届满之日。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采购人及招标代理机构只接收以纸质原件形式送达的质疑,采购人和招标代理机构不接受未填写快递运单的快件。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29、中标通知书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30. 签订合同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31、服务（包含与服务相关的货物）的追加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32、政府采购线上合同信用融资政策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30"/>
        </w:rPr>
        <w:t xml:space="preserve">33、其他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33.1供应商对于投标产品的商品包装、快递包装应按照《关于印发《商品包装政府采购需求标准（试行）》、《快递包装政府采购需求标准（试行）》的通知》（财办库〔2020〕123号）执行。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33.2本文件中若涉及到数据中心采购，应按照《&lt;绿色数据中心政府采购需求标准（试行）&gt;的通知》（财库〔2023〕7号）执行。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33.3本项目落实预付款制度，预付款比例为</w:t>
      </w:r>
      <w:r>
        <w:rPr>
          <w:rFonts w:ascii="SimSun" w:hAnsi="SimSun" w:eastAsia="SimSun" w:cs="SimSun"/>
          <w:color w:val="000000"/>
          <w:sz w:val="24"/>
          <w:u w:val="single"/>
        </w:rPr>
        <w:t xml:space="preserve">30</w:t>
      </w:r>
      <w:r>
        <w:rPr>
          <w:rFonts w:ascii="SimSun" w:hAnsi="SimSun" w:eastAsia="SimSun" w:cs="SimSun"/>
          <w:color w:val="000000"/>
          <w:sz w:val="24"/>
        </w:rPr>
        <w:t xml:space="preserve">%。在签订合同时，中标、成交供应商明确书面表示无需预付款或者主动要求降低预付款比例的，采购人可就预付款比例作相应调整。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确需收取履约保证金的，履约保证金的缴纳形式：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如以履约保函（保险）形式缴纳履约保证金，供应商可通过政府采购电子履约保函（保险）平台（www.jsdzbh.com）在线申请履约保函（保险）。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履约保证金允许供应商自主选择以支票、汇票、本票、保函等非现金形式缴纳或提交。</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33.5、采购项目需满足的政府采购政策目标和具体支持对象</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33.5.1政府采购促进中小企业发展，参加投标企业提供《中小企业声明函》（“中小企业划型标准”详见《关于印发中小企业划型标准规定的通知》(工信部联企业〔2011〕300号)、国家统计局关于印发《统计上大中小微型企业划分办法（2017）》的通知(国统字〔2017〕213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33.7政府采购落实“政采贷”政策，依据《关于深入推进政府采购线上合同信用融资工作的通知》（苏财购﹝2021﹞82号）。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34、政府采购落实（苏财购﹝2022﹞51号）。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34.1政府采购落实《关于进一步优化政府采购营商环境的通知》（盐财购﹝2023﹞17号）。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34.2政府采购落实《江苏省财政厅关于加强政府绿色采购有关事项的通知》 （苏财购﹝2023﹞65号）。</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34.3政府采购落实财政部办公厅 住房和城乡建设部办公厅 工业和信息化部办公厅《关于印发&lt;政府采购支持绿色建材促进建筑品质提升政策项目实施指南&gt;的通知》（财库办﹝2023﹞52号）。</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35、招标代理服务费及投标保证金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35.1.代理机构将根据苏招协【2022】002号文和苏建价协（2022）7号文的40%计取 [计费基数按100万元计取]代理服务费。招标完成后，由成交供应商在领取成交通知书前一次性向代理机构支付。（本条不单独列表报价，自行综合考虑在投标报价中。）。</w:t>
      </w:r>
      <w:r/>
    </w:p>
    <w:p>
      <w:pPr>
        <w:ind w:left="0" w:right="0" w:firstLine="478"/>
        <w:jc w:val="both"/>
        <w:spacing w:before="0" w:after="120" w:line="558"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本项目投标阶段无需缴纳投标保证金，但如项目开标后投标人要求撤回或修改投标文件、未能按照本项目招标文件的规定签订合同或提交履约担保、规范性文件规定可没收投标保证金情形的，采购人有权要求成交供应商支付与投标保证金（人民币10000.00元）等额的违约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第三章  合同条款及格式</w:t>
      </w:r>
      <w:r/>
    </w:p>
    <w:p>
      <w:pPr>
        <w:ind w:left="0" w:right="0" w:firstLine="0"/>
        <w:jc w:val="center"/>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w:t>
      </w:r>
      <w:r/>
    </w:p>
    <w:p>
      <w:pPr>
        <w:ind w:left="0" w:right="0" w:firstLine="0"/>
        <w:spacing w:before="156" w:after="156"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甲方：（采购方）</w:t>
      </w:r>
      <w:r/>
    </w:p>
    <w:p>
      <w:pPr>
        <w:ind w:left="0" w:right="0" w:firstLine="0"/>
        <w:spacing w:before="156" w:after="156"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乙方： （中标方）</w:t>
      </w:r>
      <w:r/>
    </w:p>
    <w:p>
      <w:pPr>
        <w:ind w:left="0" w:right="0" w:firstLine="48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根据招标文件及中标人的投标文件和中标通知书，甲乙双方就此次中标的</w:t>
      </w:r>
      <w:r>
        <w:rPr>
          <w:rFonts w:ascii="SimSun" w:hAnsi="SimSun" w:eastAsia="SimSun" w:cs="SimSun"/>
          <w:color w:val="000000"/>
          <w:sz w:val="24"/>
          <w:u w:val="single"/>
        </w:rPr>
        <w:t xml:space="preserve">       </w:t>
      </w:r>
      <w:r>
        <w:rPr>
          <w:rFonts w:ascii="SimSun" w:hAnsi="SimSun" w:eastAsia="SimSun" w:cs="SimSun"/>
          <w:color w:val="000000"/>
          <w:sz w:val="24"/>
        </w:rPr>
        <w:t xml:space="preserve">事宜，签订本合同书。</w:t>
      </w:r>
      <w:r/>
    </w:p>
    <w:p>
      <w:pPr>
        <w:numPr>
          <w:ilvl w:val="0"/>
          <w:numId w:val="6"/>
        </w:numPr>
        <w:jc w:val="both"/>
        <w:spacing w:before="156" w:after="156" w:line="400" w:lineRule="atLeast"/>
        <w:tabs>
          <w:tab w:val="left" w:pos="638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采购内容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4"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w:t>
      </w:r>
      <w:r>
        <w:rPr>
          <w:rFonts w:ascii="SimSun" w:hAnsi="SimSun" w:eastAsia="SimSun" w:cs="SimSun"/>
          <w:color w:val="000000"/>
          <w:sz w:val="24"/>
          <w:u w:val="single"/>
        </w:rPr>
        <w:t xml:space="preserve">                      </w:t>
      </w:r>
      <w:r/>
    </w:p>
    <w:p>
      <w:pPr>
        <w:ind w:left="-4"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服务周期：</w:t>
      </w:r>
      <w:r>
        <w:rPr>
          <w:rFonts w:ascii="SimSun" w:hAnsi="SimSun" w:eastAsia="SimSun" w:cs="SimSun"/>
          <w:color w:val="000000"/>
          <w:sz w:val="24"/>
          <w:u w:val="single"/>
        </w:rPr>
        <w:t xml:space="preserve">                      </w:t>
      </w:r>
      <w:r/>
    </w:p>
    <w:p>
      <w:pPr>
        <w:ind w:left="0" w:right="0" w:firstLine="0"/>
        <w:jc w:val="both"/>
        <w:spacing w:before="156" w:after="156" w:line="400" w:lineRule="atLeast"/>
        <w:tabs>
          <w:tab w:val="left" w:pos="63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服务内容：</w:t>
      </w:r>
      <w:r>
        <w:rPr>
          <w:rFonts w:ascii="SimSun" w:hAnsi="SimSun" w:eastAsia="SimSun" w:cs="SimSun"/>
          <w:color w:val="000000"/>
          <w:sz w:val="24"/>
          <w:u w:val="single"/>
        </w:rPr>
        <w:t xml:space="preserve">                      </w:t>
      </w:r>
      <w:r/>
    </w:p>
    <w:p>
      <w:pPr>
        <w:ind w:left="0" w:right="0" w:firstLine="0"/>
        <w:jc w:val="both"/>
        <w:spacing w:before="156" w:after="156" w:line="400" w:lineRule="atLeast"/>
        <w:tabs>
          <w:tab w:val="left" w:pos="638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本合同金额为人民币（大写）：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元整（￥</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04"/>
        <w:gridCol w:w="510"/>
        <w:gridCol w:w="2400"/>
        <w:gridCol w:w="1048"/>
        <w:gridCol w:w="940"/>
        <w:gridCol w:w="1680"/>
      </w:tblGrid>
      <w:tr>
        <w:trPr>
          <w:trHeight w:val="6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主要   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普工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主要部分合计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辅助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部分</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1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大型设备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吊车80T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吊车55-60T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吊车40T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吊车 25T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吊车15-16T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吊车 8T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吊车12T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轮胎挖机150型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轮胎挖机80型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叉车1.5T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装载机 3T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渣土车（10方以下）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半天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（自带铲车）运输到垃圾处理站</w:t>
            </w:r>
            <w:r/>
          </w:p>
        </w:tc>
      </w:tr>
      <w:tr>
        <w:trPr>
          <w:trHeight w:val="68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渣土车（10方以上）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半天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不带铲车，不运输垃圾处理站</w:t>
            </w:r>
            <w:r/>
          </w:p>
        </w:tc>
      </w:tr>
      <w:tr>
        <w:trPr>
          <w:trHeight w:val="7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移动脚手架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单次运费50元</w:t>
            </w:r>
            <w:r/>
          </w:p>
        </w:tc>
      </w:tr>
      <w:tr>
        <w:trPr>
          <w:trHeight w:val="5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货车3T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半天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大型拖车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半天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小型拖车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半天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三轮车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汽车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气割设备     （含乙炔、氧气）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枪、管及枪嘴、出场闲置不计费</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风镐         （含空压机）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出场闲置不计费</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电焊机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出场闲置不计费</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发电机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2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防水工程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角磨机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美工刀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445"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45"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工程款支付办法：</w:t>
      </w:r>
      <w:r>
        <w:rPr>
          <w:rFonts w:ascii="SimSun" w:hAnsi="SimSun" w:eastAsia="SimSun" w:cs="SimSun"/>
          <w:b/>
          <w:color w:val="ff0000"/>
          <w:sz w:val="24"/>
        </w:rPr>
        <w:t xml:space="preserve">本项目预付款</w:t>
      </w:r>
      <w:r>
        <w:rPr>
          <w:rFonts w:ascii="Times New Roman" w:hAnsi="Times New Roman" w:eastAsia="Times New Roman" w:cs="Times New Roman"/>
          <w:b/>
          <w:color w:val="ff0000"/>
          <w:sz w:val="24"/>
        </w:rPr>
        <w:t xml:space="preserve">30%</w:t>
      </w:r>
      <w:r>
        <w:rPr>
          <w:rFonts w:ascii="SimSun" w:hAnsi="SimSun" w:eastAsia="SimSun" w:cs="SimSun"/>
          <w:b/>
          <w:color w:val="ff0000"/>
          <w:sz w:val="24"/>
        </w:rPr>
        <w:t xml:space="preserve">，大丰行政区域内违建违章拆除等设备及用工单价见执行报价单，乙方经甲方审核后每年年底按实结算。</w:t>
      </w:r>
      <w:r/>
    </w:p>
    <w:p>
      <w:pPr>
        <w:numPr>
          <w:ilvl w:val="0"/>
          <w:numId w:val="6"/>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w:t>
      </w:r>
      <w:r/>
    </w:p>
    <w:p>
      <w:pPr>
        <w:ind w:left="0" w:right="-445" w:firstLine="480"/>
        <w:spacing w:before="0" w:after="0" w:line="439" w:lineRule="atLeast"/>
        <w:tabs>
          <w:tab w:val="left" w:pos="7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   </w:t>
      </w:r>
      <w:r/>
    </w:p>
    <w:p>
      <w:pPr>
        <w:ind w:left="0" w:right="-445" w:firstLine="480"/>
        <w:spacing w:before="0" w:after="0" w:line="439" w:lineRule="atLeast"/>
        <w:tabs>
          <w:tab w:val="left" w:pos="7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履约保证金允许供应商自主选择以支票、汇票、本票、保函等非现金形式缴纳或提交。</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四、质量标准及验收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工程质量标准：相关工程施工质量验收规范合格标准。 </w:t>
      </w:r>
      <w:r/>
    </w:p>
    <w:p>
      <w:pPr>
        <w:ind w:left="0" w:right="0" w:firstLine="0"/>
        <w:spacing w:before="0" w:after="0" w:line="439" w:lineRule="atLeast"/>
        <w:tabs>
          <w:tab w:val="left" w:pos="7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五、安全、文明施工要求</w:t>
      </w:r>
      <w:r/>
    </w:p>
    <w:p>
      <w:pPr>
        <w:ind w:left="0" w:right="-25" w:firstLine="480"/>
        <w:spacing w:before="0" w:after="0" w:line="439" w:lineRule="atLeast"/>
        <w:tabs>
          <w:tab w:val="left" w:pos="7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中标单位必须遵守江苏省建设厅及盐城市建设主管部门颁布的《建设工程施工安全管理规定》和《建设工程文明施工管理规定》。</w:t>
      </w:r>
      <w:r/>
    </w:p>
    <w:p>
      <w:pPr>
        <w:ind w:left="0" w:right="-445" w:firstLine="480"/>
        <w:spacing w:before="0" w:after="0" w:line="439" w:lineRule="atLeast"/>
        <w:tabs>
          <w:tab w:val="left" w:pos="7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必须确保安全，承包人自行承担工程施工过程中的工程质量、任何状况下的安全责任（含交通安全）。操作人员必须持有登高作业证、配备救生设施等。非招标人原因，发生的一切问题和责任与招标人无关，相关一切费用或民事、刑事责任均由承包人自理。若承包人不能及时处理所发生的问题和责任，并且影响到工程进度时，招标人有权处理相关事务，所发生的费用在支付工程款时扣除。具体条款另行签订安全生产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w:t>
      </w:r>
      <w:r/>
    </w:p>
    <w:p>
      <w:pPr>
        <w:ind w:left="0" w:right="-225"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确保安全施工的前提下，必须从快从速拆除发包人指定的拆除项目，以减少拆除工作对居民的生活和交通带来的不便。如发现承包人有无法按要求承担指定拆除项目的现象，两次书面告知无效后，发包人有权中止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七、合同生效</w:t>
      </w:r>
      <w:r/>
    </w:p>
    <w:p>
      <w:pPr>
        <w:ind w:left="-50" w:right="-25"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因违法或终止合同而引起的对方损失，双方应当协调解决，如未能达成一致，可提交主管部门协调，如仍未能达成一致时，根据双方约定提交仲裁机构仲裁，或向工程所在地人民法院诉讼。</w:t>
      </w:r>
      <w:r/>
    </w:p>
    <w:p>
      <w:pPr>
        <w:ind w:left="0" w:right="0" w:firstLine="43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本合同就一式肆份，具有同等法律效力，双方各执二份。</w:t>
      </w:r>
      <w:r/>
    </w:p>
    <w:p>
      <w:pPr>
        <w:ind w:left="0" w:right="0" w:firstLine="43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发包人（盖章）：承包人（盖章）：</w:t>
      </w:r>
      <w:r/>
    </w:p>
    <w:p>
      <w:pPr>
        <w:ind w:left="0" w:right="0" w:firstLine="43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法定代表人或委托代理人：法定代表人或委托代理人：</w:t>
      </w:r>
      <w:r/>
    </w:p>
    <w:p>
      <w:pPr>
        <w:ind w:left="0" w:right="0" w:firstLine="43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帐号：帐号：</w:t>
      </w:r>
      <w:r/>
    </w:p>
    <w:p>
      <w:pPr>
        <w:ind w:left="0" w:right="0" w:firstLine="43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1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安全生产管理协议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甲方：盐城市大丰区城市管理局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为强化安全生产管理，防范安全事故发生，维护职工群众生命安全和双方共同利益，有力保障</w:t>
      </w:r>
      <w:r>
        <w:rPr>
          <w:rFonts w:ascii="SimSun" w:hAnsi="SimSun" w:eastAsia="SimSun" w:cs="SimSun"/>
          <w:color w:val="000000"/>
          <w:sz w:val="24"/>
          <w:u w:val="single"/>
        </w:rPr>
        <w:t xml:space="preserve">                     </w:t>
      </w:r>
      <w:r>
        <w:rPr>
          <w:rFonts w:ascii="SimSun" w:hAnsi="SimSun" w:eastAsia="SimSun" w:cs="SimSun"/>
          <w:color w:val="000000"/>
          <w:sz w:val="24"/>
        </w:rPr>
        <w:t xml:space="preserve">施工合同安全、高效、优质实施，依据《中华人民共和国安全生产法》《江苏省安全生产条例》《盐城市安全生产条例》等法律法规和相关文件要求，甲乙双方签订安全生产合同并共同遵守。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甲方职责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（一）严格遵守国家有关安全生产的法律法规，认真执行工程承包合同中的有关安全生产要求。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（二）按照“安全第一、预防为主、综合治理”的方针和“管生产必须管安全”的原则，加强对安全生产的统一协调管理，做到生产与安全工作同时计划、布置、检查、总结和评比。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（三）重要的安全设施必须坚持与主体工程“三同时”的原则，即：同时设计、审批，同时施工，同时验收，投入使用。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（四）书面告知乙方发包项目、出租场所以及相关设备的基本情况、安全生产要求，协调解决乙方提出的安全生产问题。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（五）有权调取、查验乙方生产经营资质及安全生产许可证等相关资料。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（六）定期召开安全生产调度会，及时传达中央及地方有关安全生产的精神。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（七）定期组织对乙方施工现场进行安全检查，发现乙方有安全问题的，及时督促整改。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二、乙方职责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（一）严格遵守有关安全生产的规定，认真执行工程承包合同中现有的安全要求。采取一切必要的安全措施，确保施工安全，并对施工现场发生的一切安全问题负责。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（二）乙方应具备安全生产条件及相应生产经营资质，认真落实安全生产主体责任，切实做到“一必须五到位”。具体包括：</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必须依法生产经营建设。增强法制意识，严格规范生产经营行为。坚持“安全第一、预防为主、综合治理”和“管生产必须管安全”的原则。乙方应当服从甲方对其安全生产工作的统一协调管理，并依法负责本单位安全生产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全责任到位。建立健全安全生产责任制，强化安全管理力量。建立健全各项安全生产的管理机构和安全生产管理制度，配备专职及兼职安全检查人员，有组织、有领导地开展安全生产活动。定期开展自查自纠，形成安全台账并定期上报。各级领导、工程技术人员、生产管理人员和具体操作人员，必须做到生产与安全工作同时计划、布置、检查、总结和评比。从派往项目实施的项目经理到生产工人(包括临时雇请的民工)的安全生产管理系统必须做到纵向到底，一环不漏。各职能部门、人员的安全生产责任制做到横向到边，人人有责。注册建造师是安全生产的第一责任人</w:t>
      </w:r>
      <w:r>
        <w:rPr>
          <w:rFonts w:ascii="SimSun" w:hAnsi="SimSun" w:eastAsia="SimSun" w:cs="SimSun"/>
          <w:color w:val="000000"/>
          <w:sz w:val="24"/>
        </w:rPr>
        <w:t xml:space="preserve">。现场设置的安全机构，应按施工人员的1%～3%配备安全员，专职负责所有员工的安全和治安保卫工作及预防事故的发生。安全机构人员，有权按有关规定发布指令，并采取保护性措施防止事故发生。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安全投入到位。乙方要确保安全投入使用资金及时到位，建立安全生产投入保障机制，投入的专职安全生产管理人员数量必须满足法律规定的要求和工程施工的需要；工人上岗作业，必须按规定穿戴防护用品。施工负责人和安全检查员应随时检查劳动防护用品的穿戴情况，不按规定穿戴防护用品的人员不得上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安全教育培训到位。乙方应加强对本单位员工的法制和安全生产教育，增强全员安全生产意识，采取各种有效预防措施，防止发生“三违（违章指挥、违规作业、违反劳动纪律）”行为。强化一线作业人员安全生产教育培训，完善“三级安全教育”的相关资料，营造安全文化氛围，让从业人员从“要我安全”向“我要安全”转变，主动自觉地优化安全管理模式和方法，确保各项安全管理工作顺利开展；乙方必须具有劳动安全管理部门颁发的安全生产证书；乙方必须具有有权部门颁发的安全生产考核合格证书，即企业法人必须具备工程A类安全生产考核合格证书，项目负责</w:t>
      </w:r>
      <w:r>
        <w:rPr>
          <w:rFonts w:ascii="SimSun" w:hAnsi="SimSun" w:eastAsia="SimSun" w:cs="SimSun"/>
          <w:color w:val="000000"/>
          <w:sz w:val="24"/>
        </w:rPr>
        <w:t xml:space="preserve">人必须具备工程B类安全生产考核合格证书，专职安全员必须具备工程C类安全生产考核合格证书，同时严禁买卖租借（专业）资格（注册）证书等“挂证”违法违规行为。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注册建造师必须承担管理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安全管理到位。乙方应对施工现场的安全技术资料建立档案，并明确专人管理，安全技术资料应当真实、完整齐全；应切实开展隐患排查治理，加强风险辨识管控，严格监控重大危险源，严格落实安全生产规章制度，严格作业现场安全管理，深化安全生产标准化建设；对于易燃易爆的材料除应专门妥善保管之外，还应配备足够的消防设施，所有施工人员都应熟悉消防设备的性能和使用方法；不得将任何种类的爆炸物给予、易货或以其他方式转让给任何其他人，或允许、容忍上述行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应急救援到位。乙方必须按照本工程项目特点，组织制定本工程实施中的生产安全事故应急救援预案并组织演练，采取一切必要的安全措施，全面提升应急处置能力，及时评估修订应急救援预案。以不发生亡人事故，或有较大负面影响的非亡人事故，全面完成甲方交办的任务为目标，确保施工安全，并对施工现场发生的一切安全问题负责。如果发生安全事故，应按照有关规定，第一时间报告甲方及安全生产监督管理部门，并坚持“四不放过”的原则，严肃处理相关责任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所有施工机具设备和高空作业设备均应按有关规定定期检查检测，并有安全员的签字记录取得检查检测合格证书，保证其处于完好状态。不合格的机具、设备和劳动保护用品严禁使用。施工中采用新技术、新工艺、新设备、新材料时，必须制定和落实相应的安全保障措施，施工现场必须具有相关的安全标志牌及防护设施，确保安全可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乙方应当接受建设单位、监理单位及政府安全监管机构对其安全生产的监督检查。对于检查单位下达的整改意见通知，乙方要立即执行予以整改，由此发生的损失乙方自负。对于因此而造成工期延误的，乙方还要按合同规定向建设单位支付违约金；对施工单位未能按照检查单位下达的整改通知落实整改的，包括未能按期回复的，将要求施工单位缴纳一定的安全违约金（第一次警告提醒、第二次开始缴纳安全违约金，标准是按照合同价的万分之一到五，低于壹仟元按照壹仟元，高于壹万元按照壹万元，整改回复内容弄虚作假，违约金将加倍，违约金交建设单位财务），含</w:t>
      </w:r>
      <w:r>
        <w:rPr>
          <w:rFonts w:ascii="SimSun" w:hAnsi="SimSun" w:eastAsia="SimSun" w:cs="SimSun"/>
          <w:color w:val="000000"/>
          <w:sz w:val="24"/>
        </w:rPr>
        <w:t xml:space="preserve">停止现场施工；缴纳方式：违约金从当期工程款中扣除。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乙方负责为所有乙方工作人员办理医疗及工伤社会保险、工程一切险（第三方责任险）、意外伤害险，在施工过程中如发生人身伤害事故，由乙方承担全部责任；乙方在工程开工前应将参保凭证交甲方备案。若乙方未为工作人员办理相关保险，则工程项目不得开工建设，甲方对此有权对乙方予以处罚，并督促其补办保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施工准备至竣工验收完毕并交付，乙方负责工程全程安全管理。乙方应加强安全巡查工作，及时发现质量缺陷，及时采取临时性保护和补救措施。在此期间如发生因工程质量问题引起的安全事故，将由乙方承担相应的法律责任及由此引起的法律纠纷后果和赔偿义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（七）乙方在任何时候都应采取各种合理的预防措施，防止其员工发生任何违法、违禁、暴力或妨碍治安的行为。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三、违约责任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（一）合同约定期间，工程中若发生安全事故，乙方独立承担事故造成的一切经济损失和其他法律责任。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（二）本合同约定期间如因乙方或乙方工作人员过错给甲方造成损失，由乙方负责向甲方赔偿，甲方有权直接从乙方的工程款中将相关损失赔偿款进行扣除。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四、其他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本合同正本一式贰份，甲乙双方各执一份。由双方法定代表人或其授权的代理人签署与加盖公章后生效，全部工程竣工验收完毕并交付后失效。</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rPr>
          <w:rFonts w:ascii="SimSun" w:hAnsi="SimSun" w:eastAsia="SimSun" w:cs="SimSun"/>
          <w:color w:val="000000"/>
          <w:sz w:val="24"/>
          <w:u w:val="single"/>
        </w:rPr>
        <w:t xml:space="preserve">               </w:t>
      </w:r>
      <w:r>
        <w:rPr>
          <w:rFonts w:ascii="SimSun" w:hAnsi="SimSun" w:eastAsia="SimSun" w:cs="SimSun"/>
          <w:color w:val="000000"/>
          <w:sz w:val="24"/>
        </w:rPr>
        <w:t xml:space="preserve">                      乙方: </w:t>
      </w:r>
      <w:r>
        <w:rPr>
          <w:rFonts w:ascii="SimSun" w:hAnsi="SimSun" w:eastAsia="SimSun" w:cs="SimSun"/>
          <w:color w:val="000000"/>
          <w:sz w:val="24"/>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法定代表人或其法定代表人或其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授权的代理人: </w:t>
      </w:r>
      <w:r>
        <w:rPr>
          <w:rFonts w:ascii="SimSun" w:hAnsi="SimSun" w:eastAsia="SimSun" w:cs="SimSun"/>
          <w:color w:val="000000"/>
          <w:sz w:val="24"/>
          <w:u w:val="single"/>
        </w:rPr>
        <w:t xml:space="preserve">         </w:t>
      </w:r>
      <w:r>
        <w:rPr>
          <w:rFonts w:ascii="SimSun" w:hAnsi="SimSun" w:eastAsia="SimSun" w:cs="SimSun"/>
          <w:color w:val="000000"/>
          <w:sz w:val="24"/>
        </w:rPr>
        <w:t xml:space="preserve">                     授权的代理人：</w:t>
      </w:r>
      <w:r>
        <w:rPr>
          <w:rFonts w:ascii="SimSun" w:hAnsi="SimSun" w:eastAsia="SimSun" w:cs="SimSun"/>
          <w:color w:val="000000"/>
          <w:sz w:val="24"/>
          <w:u w:val="single"/>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  话: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日  期: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380" w:lineRule="atLeast"/>
        <w:tabs>
          <w:tab w:val="left" w:pos="62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600" w:lineRule="atLeast"/>
        <w:tabs>
          <w:tab w:val="left" w:pos="626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00" w:lineRule="atLeast"/>
        <w:tabs>
          <w:tab w:val="left" w:pos="62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廉 政 合 同</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盐城市大丰区城市管理局</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为强化抓源治本工作力度，从制度机制上进一步规范集体性建筑工程建设行为，杜绝不廉洁行为，特制定本合同，双方遵照执行。</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pacing w:val="-4"/>
          <w:sz w:val="24"/>
        </w:rPr>
        <w:t xml:space="preserve">甲、乙双方必须严格遵守国家法律、法规政策及各项廉政规定，恪守职业道德规范。</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2、甲、乙双方在具体工程建设行为中，必须严格遵守招投标法规定的原则、方式、程序，保证公平、公正、公开。</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pacing w:val="-4"/>
          <w:sz w:val="24"/>
        </w:rPr>
        <w:t xml:space="preserve">甲、乙双方不得相互串通，损害国家利益、社会公共利益及其他当事人的合法权益。</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6、甲方工作人员及其配偶、子女不得以打“业务牌”等形式变相接受乙方的钱物；乙方不得以打“业务牌”的形式向甲方工作人员及其配偶、子女变相送钱物。</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7、甲方工作人员及其配偶、子女不得在乙方报销应由个人支付的费用或领取报酬；乙方不得为甲方工作人员及其配偶、子女报销应由个人支付的费用或发放报酬。</w:t>
      </w:r>
      <w:r/>
    </w:p>
    <w:p>
      <w:pPr>
        <w:ind w:left="0" w:right="0" w:firstLine="48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违约责任：</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1、甲方发生违约行为，一经查实将视情节轻重对直接责任人进行严肃处理并追究主管人员的责任。</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2、乙方发生违约行为，甲方有权解除合同，并将其列入“黑名单”在一定范围内公布，三年内不得参加辖区内的工程建设。</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3、甲、乙双方所签定的廉政合同的时效与工程建设合同时效等同。</w:t>
      </w:r>
      <w:r/>
    </w:p>
    <w:p>
      <w:pPr>
        <w:ind w:left="0" w:right="0" w:firstLine="48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合同生效：</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双方约定合同副本份数：陆份</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合同订立地点：</w:t>
      </w:r>
      <w:r>
        <w:rPr>
          <w:rFonts w:ascii="SimSun" w:hAnsi="SimSun" w:eastAsia="SimSun" w:cs="SimSun"/>
          <w:color w:val="000000"/>
          <w:sz w:val="24"/>
          <w:u w:val="single"/>
        </w:rPr>
        <w:t xml:space="preserve">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本合同双方约定签字后生效。</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rPr>
          <w:rFonts w:ascii="SimSun" w:hAnsi="SimSun" w:eastAsia="SimSun" w:cs="SimSun"/>
          <w:color w:val="000000"/>
          <w:sz w:val="24"/>
          <w:u w:val="single"/>
        </w:rPr>
        <w:t xml:space="preserve">               </w:t>
      </w:r>
      <w:r>
        <w:rPr>
          <w:rFonts w:ascii="SimSun" w:hAnsi="SimSun" w:eastAsia="SimSun" w:cs="SimSun"/>
          <w:color w:val="000000"/>
          <w:sz w:val="24"/>
        </w:rPr>
        <w:t xml:space="preserve">                      乙方: </w:t>
      </w:r>
      <w:r>
        <w:rPr>
          <w:rFonts w:ascii="SimSun" w:hAnsi="SimSun" w:eastAsia="SimSun" w:cs="SimSun"/>
          <w:color w:val="000000"/>
          <w:sz w:val="24"/>
          <w:u w:val="single"/>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法定代表人或其法定代表人或其</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授权的代理人: </w:t>
      </w:r>
      <w:r>
        <w:rPr>
          <w:rFonts w:ascii="SimSun" w:hAnsi="SimSun" w:eastAsia="SimSun" w:cs="SimSun"/>
          <w:color w:val="000000"/>
          <w:sz w:val="24"/>
          <w:u w:val="single"/>
        </w:rPr>
        <w:t xml:space="preserve">         </w:t>
      </w:r>
      <w:r>
        <w:rPr>
          <w:rFonts w:ascii="SimSun" w:hAnsi="SimSun" w:eastAsia="SimSun" w:cs="SimSun"/>
          <w:color w:val="000000"/>
          <w:sz w:val="24"/>
        </w:rPr>
        <w:t xml:space="preserve">                     授权的代理人：</w:t>
      </w:r>
      <w:r>
        <w:rPr>
          <w:rFonts w:ascii="SimSun" w:hAnsi="SimSun" w:eastAsia="SimSun" w:cs="SimSun"/>
          <w:color w:val="000000"/>
          <w:sz w:val="24"/>
          <w:u w:val="single"/>
        </w:rPr>
        <w:t xml:space="preserve">          </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  话: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                                     日  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政府采购合同履约验收书（参考格式）</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根据政府采购合同（编号：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）的约定，我单位组织对</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项目中标（成交）供应商</w:t>
      </w:r>
      <w:r>
        <w:rPr>
          <w:rFonts w:ascii="SimSun" w:hAnsi="SimSun" w:eastAsia="SimSun" w:cs="SimSun"/>
          <w:color w:val="000000"/>
          <w:sz w:val="21"/>
          <w:u w:val="single"/>
        </w:rPr>
        <w:t xml:space="preserve">（公司名称）</w:t>
      </w:r>
      <w:r>
        <w:rPr>
          <w:rFonts w:ascii="SimSun" w:hAnsi="SimSun" w:eastAsia="SimSun" w:cs="SimSun"/>
          <w:color w:val="000000"/>
          <w:sz w:val="21"/>
        </w:rPr>
        <w:t xml:space="preserve">提供的货物（工程、服务）进行了履约验收，验收情况如下：</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5"/>
        <w:gridCol w:w="2707"/>
        <w:gridCol w:w="1582"/>
        <w:gridCol w:w="2363"/>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验收情况和验收意见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（可另附）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验收小组（签字）：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供应商确认意见（签章）：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采购人确认意见（签章）：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9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一、项目属性：工程类项目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二、本项目属于：建筑物拆除服务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三、项目概述：</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拆除其他新增或旧有违法房屋、构筑物、建筑物等内容；同时负责拆后的垃圾清运与恢复工作，做到场清地平、恢复原貌。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四、项目清单及最高限价：</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04"/>
        <w:gridCol w:w="501"/>
        <w:gridCol w:w="2400"/>
        <w:gridCol w:w="1027"/>
        <w:gridCol w:w="1014"/>
        <w:gridCol w:w="1637"/>
      </w:tblGrid>
      <w:tr>
        <w:trPr>
          <w:trHeight w:val="6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主要   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普工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主要部分合计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辅助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部分</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大型设备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吊车80T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吊车55-60T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吊车40T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吊车 25T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吊车15-16T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吊车 8T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吊车12T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轮胎挖机150型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轮胎挖机80型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叉车1.5T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装载机 3T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渣土车（10方以下）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半天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（自带铲车）运输到垃圾处理站</w:t>
            </w:r>
            <w:r/>
          </w:p>
        </w:tc>
      </w:tr>
      <w:tr>
        <w:trPr>
          <w:trHeight w:val="68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渣土车（10方以上）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半天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不带铲车，不运输垃圾处理站</w:t>
            </w:r>
            <w:r/>
          </w:p>
        </w:tc>
      </w:tr>
      <w:tr>
        <w:trPr>
          <w:trHeight w:val="7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移动脚手架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单次运费50元</w:t>
            </w:r>
            <w:r/>
          </w:p>
        </w:tc>
      </w:tr>
      <w:tr>
        <w:trPr>
          <w:trHeight w:val="540"/>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货车3T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半天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大型拖车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半天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小型拖车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半天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三轮车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汽车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气割设备     （含乙炔、氧气）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枪、管及枪嘴、出场闲置不计费</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风镐         （含空压机）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出场闲置不计费</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电焊机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出场闲置不计费</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发电机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2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防水工程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角磨机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美工刀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tabs>
          <w:tab w:val="left" w:pos="49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因实际工作量不可预估，上表仅提供单价的最高限价。以上最高限价为全费用单</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在以上报价范围外的价格结算，在市场上采购单位同时享受本项目中标优惠率。按当月市场参考价乘以本项目（优惠率）结算。</w:t>
      </w:r>
      <w:r/>
    </w:p>
    <w:p>
      <w:pPr>
        <w:ind w:left="0" w:right="0" w:firstLine="0"/>
        <w:jc w:val="both"/>
        <w:spacing w:before="0" w:after="0" w:line="85" w:lineRule="atLeast"/>
        <w:tabs>
          <w:tab w:val="left" w:pos="49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1、对违法建筑物拆除后需要维修的部分所产生费用由采购单位负责。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五、项目施工要求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（一）服务方人员配置：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本项目需配备专业的作业队伍，</w:t>
      </w:r>
      <w:r>
        <w:rPr>
          <w:rFonts w:ascii="SimSun" w:hAnsi="SimSun" w:eastAsia="SimSun" w:cs="SimSun"/>
          <w:b/>
          <w:color w:val="000000"/>
          <w:sz w:val="24"/>
        </w:rPr>
        <w:t xml:space="preserve">作业组人员必需配备项目负责人1名、安全员1名，</w:t>
      </w:r>
      <w:r>
        <w:rPr>
          <w:rFonts w:ascii="SimSun" w:hAnsi="SimSun" w:eastAsia="SimSun" w:cs="SimSun"/>
          <w:color w:val="000000"/>
          <w:sz w:val="24"/>
        </w:rPr>
        <w:t xml:space="preserve">特种作业人员应具有特种作业操作证（严禁无证上岗作业）。项目负责人必须保持与采购单位在工作上的紧密联系，必须保持通讯畅通。供应商应具备调配大面积拆违综合整治任务所需人员、车辆的能力。</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供应商需具备收到采购单位通知后做到半小时响应，1小时内到场。如遇突发事件，须有配套拆违机具设备及充足的工作人员在30分钟内到场应急处理且服从采购单位现场指挥的能力。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服务人员要求：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（1）应统一服装、标识。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（2）作业人员在规定的工作时间段内不得迟到、早退。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（3）作业人员上岗时未经许可不得相互替代，有事不能上岗者应提前一天请假，经批准方可离岗，同时中标供应商须向采购单位汇报换岗情况。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（4）上岗时穿戴整齐，配备必要的防护装备（安全帽、高空绳索等），严禁赤膊操作、穿拖鞋上班，违反者按考核制度扣分。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（5）上岗时间不得干私活，捡废品或进行与工作无关的事情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（6）作业人员在作业过程中应杜绝与居民发生争吵。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（7）作业人员在作业过程中不得与管理人员或督查人员发生纠纷。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（二）设备配置要求：投标供应商须承诺具有满足本项目采购需求的拆违机具设备，中标后10天内按投标的拆违设备及车辆配备到位，保障拆违整治工作的顺利进行</w:t>
      </w:r>
      <w:r>
        <w:rPr>
          <w:rFonts w:ascii="SimSun" w:hAnsi="SimSun" w:eastAsia="SimSun" w:cs="SimSun"/>
          <w:b/>
          <w:color w:val="000000"/>
          <w:sz w:val="24"/>
          <w:highlight w:val="yellow"/>
        </w:rPr>
        <w:t xml:space="preserve">（需提供承诺函，格式自拟）</w:t>
      </w:r>
      <w:r>
        <w:rPr>
          <w:rFonts w:ascii="SimSun" w:hAnsi="SimSun" w:eastAsia="SimSun" w:cs="SimSun"/>
          <w:b/>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（三）安全工作要求：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拆除及整治队伍必须加强管理，按照国家行业标准及安全管理部门的规范要求，制定科学操作方案，文明拆违，注意安全，在合同履行期内如发生中标方工作人员及第三人的所有人身伤亡、财产损失的均由中标方承担全部责任，采购单位不承担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（2）拆除人员、施工机械在现场或运输装卸途中对建筑、设施设备及邻近管线等造成损坏（除修复外），应由中标供应商负责修复或赔偿；</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（3）拆除整治过程中，中标供应商负责及时清运垃圾，并做好垃圾分类；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须为拆除人员配备印有中标供应商名称的现场作业安全服或反光背心，现场作业时应做好安全警示和作业围挡。拆违现场有明火隐患的，应严格按照安全生产规范操作，并在现场配备灭火器；施工中必须派有专人负责组织指挥具体的拆除工作，确保周围道路、水电不断，排水不堵、周围环境设施完好，不影响未拆居民的建筑物及居民正常生活和工作。拆除违法建筑物、构筑物及设施时，保证当事人合法建筑不受影响。在拆除过程中对相邻或合法建筑物造成不可避免的损坏时，需及时修复。对于水、电等切断和恢复工作，须派专人负责。</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（5）拆除整治工作实施过程中，中标供应商不得将拆除物、设备与人员共用一辆车辆运输，不得违反相关道路交通法规。如在服务过程中发生的车辆交通违章、车辆暂扣等问题均由中标供应商自行承担；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（6）在施工过程中，若因中标供应商工作不力，造成中标方工作人员及第三人人身伤亡、财产损失的，所有责任由中标供应商承担并负责所有赔偿；</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拆除过程中，须确保施工安全，施工人员必须带好安全帽，佩带好统一标志，严格按照规范程序操作，持证上岗。涉及到高空作业的，必须配备高空作业人员（持高处作业操作证）。施工中如发生施工安全事故，则由中标供应商负全部的法律和经济责任，与采购单位无关。采购单位负责被拆户人员及围观群众的隔离等安全工作，确保中标供应商能正常施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（8）供应商须在投标文件内承诺在中标后为本项目投入的所有人员</w:t>
      </w:r>
      <w:r>
        <w:rPr>
          <w:rFonts w:ascii="SimSun" w:hAnsi="SimSun" w:eastAsia="SimSun" w:cs="SimSun"/>
          <w:b/>
          <w:color w:val="000000"/>
          <w:sz w:val="24"/>
          <w:highlight w:val="yellow"/>
        </w:rPr>
        <w:t xml:space="preserve">购买意外险</w:t>
      </w:r>
      <w:r>
        <w:rPr>
          <w:rFonts w:ascii="SimSun" w:hAnsi="SimSun" w:eastAsia="SimSun" w:cs="SimSun"/>
          <w:color w:val="000000"/>
          <w:sz w:val="24"/>
        </w:rPr>
        <w:t xml:space="preserve">并在中标后10天内提供相关证明材料交采购方备案</w:t>
      </w:r>
      <w:r>
        <w:rPr>
          <w:rFonts w:ascii="SimSun" w:hAnsi="SimSun" w:eastAsia="SimSun" w:cs="SimSun"/>
          <w:b/>
          <w:color w:val="000000"/>
          <w:sz w:val="24"/>
          <w:highlight w:val="yellow"/>
        </w:rPr>
        <w:t xml:space="preserve">（提供承诺函，格式自拟）</w:t>
      </w:r>
      <w:r>
        <w:rPr>
          <w:rFonts w:ascii="SimSun" w:hAnsi="SimSun" w:eastAsia="SimSun" w:cs="SimSun"/>
          <w:b/>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（9）中标供应商必须接受采购单位的现场管理，按照采购单位的工作流程进行施工，因中标供应商未按照要求施工造成的损失由中标供应商负责。</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（10）拆违结束后，中标供应商应消除所有水电隐患。</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（四）其他要求：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1、中标供应商在履行合同义务期间，应遵守国家有关法律、法规、维护委托单位的合法权益。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2、中标供应商负有保密责任，与采购单位签订保密协议。未经采购单位同意，关于本项目的任何情况均不得私自对外发布或散播，否则，自行承担所有责任。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3、中标供应商在作业中，应留存作业前后对比图片，做好作业内容及工作量记录并经主管部门签字盖章确认，项目结束做好验收记录。项目结算审计时需提供以上资料，是结算审计的重要依据。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六、项目服务期限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服务期限：自签订合同之日起1年。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七、付款方式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rPr>
          <w:rFonts w:ascii="SimSun" w:hAnsi="SimSun" w:eastAsia="SimSun" w:cs="SimSun"/>
          <w:color w:val="000000"/>
          <w:sz w:val="24"/>
        </w:rPr>
        <w:t xml:space="preserve">本项目预付款30%，大丰行政区域内违建违章拆除等设备及用工单价见执行报价单，乙方经甲方审核后每年年底按实结算。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八、有关说明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1、本项目报价为固定单价（即固定优惠率）。投标单位报价时应根据招标文件所提出的服务要求、人员配备、设备设施配置等各类费用组成进行综合报价。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为拆违项目，不可预见性较强，中标单位应配置一支24小时应急处置队伍，具有随叫随到及即时拆违的能力，要求自接采购单位电话起60分钟内到达拆违现场并开始拆违施工，夜间、双休日、国家法定节假日也必须确保执行到位。如发现中标单位有2次未响应以上时间点的，采购方有权终止合同并追究违约责任，进行重新招标，此违约单位将在三年内不得参加采购方本项目的招标活动。</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3、未经采购单位同意，中标单位不得在合同期限内将本项目进行转包或发包。若出现此类情况，采购单位有权终止合同且所产生的一切经济损失、后果和法律责任均由中标单位全部承担。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各种原因导致中标供应商未能签订合同、或签订合同后未能履行的，或者因中标供应商违约等情形被终止合同的，采购方将进行重新招标，依法追究中标供应商违约责任，此违约单位将在三年内不得参加采购方本项目的招标活动。</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接到拆违通知后，供应商应无条件先行施工，未经采购单位同意不得拒绝实施；如供应商拒绝实施，采购单位可将项目交给其他单位实施，由此发生的费用由供应商承担，并且供应商须向采购单位支付相当于该费用20%的违约金，采购单位有权从应支付给供应商的任何款项中扣除该实施费用及违约金。</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6、成交供应商必须高度重视作业安全，为全体员工购买人身意外险。服务期间，由于管理不善或工作不规范等因素造成的安全事故，均由成交供应商承担一切责任和损失。</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量及验收：由采购单位组织考评，详见《管理考核评分表》。《管理考核评分表》作为支付服务费的依据之一。验收标准：按招标文件所规定的服务标准和乙方投标文件的承诺，根据实际按照转发江苏省财政厅关于印发《江苏省政府采购履约验收管理办法》的通知组织验收。费用由乙方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b/>
          <w:color w:val="000000"/>
          <w:sz w:val="24"/>
        </w:rPr>
        <w:t xml:space="preserve">采购人将会在中标后10天至合同签订前，对中标人的设备配置承诺、人员保险承诺等进行现场核查，如未履行承诺，采购方有权取消其中标资格，进行重新招标，取消中标资格的单位将在三年内不得参加采购方本项目的招标活动。</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9、凡涉及采购文件的补充说明或修正，均以书面依据为准。</w:t>
      </w:r>
      <w:r/>
    </w:p>
    <w:p>
      <w:pPr>
        <w:ind w:left="0" w:right="0" w:firstLine="48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10、标书制作中若有不明，请及时咨询代理机构。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《管理考核评分表》</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7"/>
        <w:gridCol w:w="4039"/>
        <w:gridCol w:w="367"/>
        <w:gridCol w:w="2819"/>
        <w:gridCol w:w="707"/>
        <w:gridCol w:w="328"/>
        <w:gridCol w:w="458"/>
      </w:tblGrid>
      <w:tr>
        <w:trPr>
          <w:trHeight w:val="457"/>
        </w:trPr>
        <w:tc>
          <w:tcPr>
            <w:gridSpan w:val="2"/>
            <w:tcBorders>
              <w:top w:val="none" w:color="000000" w:sz="4" w:space="0"/>
              <w:left w:val="none" w:color="000000" w:sz="4" w:space="0"/>
              <w:bottom w:val="single" w:color="000000" w:sz="8" w:space="0"/>
              <w:right w:val="none" w:color="000000" w:sz="4" w:space="0"/>
            </w:tcBorders>
            <w:tcMar>
              <w:left w:w="15" w:type="dxa"/>
              <w:top w:w="15" w:type="dxa"/>
              <w:right w:w="15" w:type="dxa"/>
              <w:bottom w:w="0" w:type="dxa"/>
            </w:tcMar>
            <w:tcW w:w="467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服务单位：</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318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single" w:color="000000" w:sz="8" w:space="0"/>
              <w:right w:val="none" w:color="000000" w:sz="4" w:space="0"/>
            </w:tcBorders>
            <w:tcMar>
              <w:left w:w="15" w:type="dxa"/>
              <w:top w:w="15" w:type="dxa"/>
              <w:right w:w="15" w:type="dxa"/>
              <w:bottom w:w="0" w:type="dxa"/>
            </w:tcMar>
            <w:tcW w:w="1493"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tc>
      </w:tr>
      <w:tr>
        <w:trPr>
          <w:trHeight w:val="53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3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检查项目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0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考核内容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gridSpan w:val="2"/>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35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扣分标准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扣分</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r>
      <w:tr>
        <w:trPr>
          <w:trHeight w:val="68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37"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安全措施</w:t>
              <w:br/>
              <w:t xml:space="preserve">（30分）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0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1.施工进场着装不统一不规范，不带安全头盔。</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2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每经发现1次，扣2分。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0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2.超安全高度及高空不系安全带。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2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作业人员不安规定操作的发现一次全扣。</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0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在严禁烟火区域使用明火、抽烟</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2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不遵守规定的，发现一次全扣</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4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37"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服务标准 </w:t>
              <w:br/>
              <w:t xml:space="preserve">（20分）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0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1.和执法相对方发生口角和肢体冲突造成负面影响的，行为恶劣的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2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不配合执法的，发现一次全部扣除</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0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2.未按时间节点准时入场延误工作时间超十分钟以上的。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2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每逾期十分钟扣1分，扣完为止</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37"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工作标准</w:t>
              <w:br/>
              <w:t xml:space="preserve">（50分）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0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1.按合同要求配备的车辆及工具设备应配足配全。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2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发现一次全部扣除</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7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0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2.进场作业区域未设置警戒线或围挡。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2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对照要求落实好，发现一处扣5分，扣完为止</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0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3.机械未实施年检或操作人员没有相应操作证件。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2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不符合标准的，全部扣除</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9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0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4.拆违人员、施工机械在拆违现场或运输装卸途中对合法建筑、设施设备及邻近管线等造成损坏。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2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及时修复的，扣5分；未及时修复的，扣10分；未修复的全部扣除。</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1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0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5.工作完成后垃圾清运不彻底或留有死角或平整度达不到要求的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2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发现一次全部扣除</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0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6.拆违结束后，未消除所有水电隐患的。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2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发现一次全部扣除</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37"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0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1.因操作不当造成伤人或重大事故的。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2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0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2.若因施工方工作不力而出现媒体曝光、上级通报、点名批评，造成重大影响的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2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0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3.考评成绩达到三次不及格的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2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3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0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2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3"/>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考核单位经办人（签字）</w:t>
            </w:r>
            <w:r/>
          </w:p>
        </w:tc>
        <w:tc>
          <w:tcPr>
            <w:gridSpan w:val="5"/>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6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3"/>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服务单位负责人/代表（签字/盖章）</w:t>
            </w:r>
            <w:r/>
          </w:p>
        </w:tc>
        <w:tc>
          <w:tcPr>
            <w:gridSpan w:val="5"/>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6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注：1、每次拆除作业，需依照《管理考核评分表》内容进行考核。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《管理考核评分表》，表中按每单项的评分细则扣分，总分100分扣完为止； 90分以上（含90分）不扣款；80-89，按本次拆除服务费的10%扣款；70-79分，按本次拆除服务费的20%扣款；60-69，按本次拆除服务费的50%扣款；如当月考核得分低于60分，采购方将不支付本次拆除服务费。</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扣款从单次拆除服务费中直接扣除。如累计3次考核分数低于60分（不含60分），可视为乙方无履约能力，甲方有权立即解除合同；自甲方书面通知发出之日起，合同解除生效。</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考核内容和标准如有调整，中标单位需无条件执行。</w:t>
      </w:r>
      <w:r/>
    </w:p>
    <w:p>
      <w:pPr>
        <w:ind w:left="505"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05"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第五章  评审方法和评审标准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评标办法采用综合评分法。评标结果按评审后得分由高到低顺序排列。得分相同的，按投标报价由低到高顺序排列。得分且投标报价相同的，由评标委员会组织通过抽签的方式确定中标候选人的排序。投标文件满足采购文件全部实质性要求，且按照评审因素的量化指标评审得分最高的投标人为排名第一的中标候选人，本项目选取1名中标候选人。</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（1）本项目对残疾人福利性单位视同小型、微型企业，给予20%的价格扣除，用扣除后的价格参与评审。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（1）本项目对监狱和戒毒企业（简称监狱企业）视同小型、微型企业，给予20%的价格扣除，用扣除后的价格参与评审。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参加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6、联合体各方均为小型、微型企业（残疾人福利单位、监狱企业）的，联合体享受20%价格扣除，用扣除后的价格参与评审。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206"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政府采购异常低价审查</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 的，即投标（响应）报价&lt;采购项目预算×50%；</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 的，即投标（响应）报价&lt;采购项目最高限价×45%；</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本项目评分总分值为100分。</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6"/>
        <w:gridCol w:w="794"/>
        <w:gridCol w:w="7589"/>
        <w:gridCol w:w="265"/>
      </w:tblGrid>
      <w:tr>
        <w:trPr/>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7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评分项</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7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758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评分规则</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26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价格部分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价格评审指标</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58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满足招标文件要求且投标综合优惠率最高的综合优惠率为评标基准价，其价格分为20分，其他投标人的价格分统一按照下列公式计算：投标报价得分=（评标基准价/投标报价）*20分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本项目以（1-综合优惠率）作为报价计算价格分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265" w:type="dxa"/>
            <w:vAlign w:val="center"/>
            <w:textDirection w:val="lrTb"/>
            <w:noWrap w:val="false"/>
          </w:tcPr>
          <w:p>
            <w:pPr>
              <w:ind w:left="0" w:right="0" w:firstLine="0"/>
              <w:jc w:val="righ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0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技术部分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（57分）</w:t>
            </w:r>
            <w:r/>
          </w:p>
          <w:p>
            <w:pPr>
              <w:ind w:left="960" w:right="0" w:hanging="240"/>
              <w:jc w:val="center"/>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9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施工组织设计及方案（57分）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根据投标人提供的拆除违建设施过程中施工进度保证措施进行综合评审：</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需包括：①及时性②合理加快进度，缩短工期的措施。</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上述内容每有一项描述详细、方案清晰、合理可行、有针对性，并且满足采购需求的得4.5分，方案内容有待改善的得2.5分，每有一项内容未进行阐述或不满足采购需求的，该项不得分。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265" w:type="dxa"/>
            <w:vAlign w:val="center"/>
            <w:textDirection w:val="lrTb"/>
            <w:noWrap w:val="false"/>
          </w:tcPr>
          <w:p>
            <w:pPr>
              <w:ind w:left="0" w:right="0" w:firstLine="120"/>
              <w:jc w:val="righ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589" w:type="dxa"/>
            <w:vAlign w:val="center"/>
            <w:textDirection w:val="lrTb"/>
            <w:noWrap w:val="false"/>
          </w:tcPr>
          <w:p>
            <w:pPr>
              <w:ind w:left="0" w:right="0" w:firstLine="0"/>
              <w:spacing w:before="0" w:after="0" w:line="65" w:lineRule="atLeast"/>
              <w:tabs>
                <w:tab w:val="left" w:pos="11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根据投标人提供的拆除违建设施的实施方案，进行综合评审：</w:t>
            </w:r>
            <w:r/>
          </w:p>
          <w:p>
            <w:pPr>
              <w:ind w:left="0" w:right="0" w:firstLine="0"/>
              <w:spacing w:before="0" w:after="0" w:line="65" w:lineRule="atLeast"/>
              <w:tabs>
                <w:tab w:val="left" w:pos="11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需要包括：①机械拆除方案②人工拆除方案③其他方案。</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上述内容每有一项描述详细、方案清晰、合理可行、有针对性，并且满足采购需求的得3分，方案内容有待改善的得1.5分，每有一项内容未进行阐述或不满足采购需求的，该项不得分。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265" w:type="dxa"/>
            <w:vAlign w:val="center"/>
            <w:textDirection w:val="lrTb"/>
            <w:noWrap w:val="false"/>
          </w:tcPr>
          <w:p>
            <w:pPr>
              <w:ind w:left="0" w:right="0" w:firstLine="120"/>
              <w:jc w:val="righ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58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根据投标人提供的拆除违建设施过程中质量保证措施进行综合评审：需包括：①符合采购人要求，不影响周边建筑物等设施②对拆除地进行恢复原貌。</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上述内容每有一项描述详细、方案清晰、合理可行、有针对性，并且满足采购需求的得4分，方案内容有待改善的得2分，每有一项内容未进行阐述或不满足采购需求的，该项不得分。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265" w:type="dxa"/>
            <w:vAlign w:val="center"/>
            <w:textDirection w:val="lrTb"/>
            <w:noWrap w:val="false"/>
          </w:tcPr>
          <w:p>
            <w:pPr>
              <w:ind w:left="0" w:right="0" w:firstLine="120"/>
              <w:jc w:val="righ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58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根据投标人提供的拆除违建过程中安全文明施工措施进行综合评审：需包括：①施工技术②安全文明施工③环境保护，④高空作业。</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上述内容每有一项描述详细、方案清晰、合理可行、有针对性，并且满足采购需求的得3分，方案内容有待改善的得1.5分，每有一项内容未进行阐述或不满足采购需求的，该项不得分。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265" w:type="dxa"/>
            <w:vAlign w:val="center"/>
            <w:textDirection w:val="lrTb"/>
            <w:noWrap w:val="false"/>
          </w:tcPr>
          <w:p>
            <w:pPr>
              <w:ind w:left="0" w:right="0" w:firstLine="120"/>
              <w:jc w:val="righ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58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根据投标人提供的拆除违建过程中应急响应保证措施进行综合评审：需包括：①应急预案、②响应时间保证措施。</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上述内容每有一项描述详细、方案清晰、合理可行、有针对性，并且满足采购需求的得5分，方案内容有待改善的得2.5分，每有一项内容未进行阐述或不满足采购需求的，该项不得分。           </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265" w:type="dxa"/>
            <w:vAlign w:val="center"/>
            <w:textDirection w:val="lrTb"/>
            <w:noWrap w:val="false"/>
          </w:tcPr>
          <w:p>
            <w:pPr>
              <w:ind w:left="0" w:right="0" w:firstLine="120"/>
              <w:jc w:val="righ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58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根据投标人提供的拆除违建设施后，对建筑垃圾的处理及垃圾的清运方案进行综合评审：需包括①及时性、无抛撒、滴漏②周边场地清理③清运堆放。</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上述内容每有一项描述详细、方案清晰、合理可行、有针对性，并且满足采购需求的得3分，方案内容有待改善的得1.5分，每有一项内容未进行阐述或不满足采购需求的，该项不得分。                                         </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265" w:type="dxa"/>
            <w:vAlign w:val="center"/>
            <w:textDirection w:val="lrTb"/>
            <w:noWrap w:val="false"/>
          </w:tcPr>
          <w:p>
            <w:pPr>
              <w:ind w:left="0" w:right="0" w:firstLine="0"/>
              <w:jc w:val="righ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0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商务部分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589"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项目组人员需不少于10名，人员配备应合理、齐全，项目组具有项目负责人、技术负责人、安全员（需提供安全员证书）、质量员、作业人员等工种的得基本分5分，不具备以上要求不得分。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项目组人员持有高处作业操作证的每1人加1分，最高得1分。（须提供证书原件扫描件）</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上述人员不得兼任，须提供本单位近3个月中任意1个月份&lt;不含投标当月&gt;为其缴纳社保的证明。 </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265" w:type="dxa"/>
            <w:vAlign w:val="center"/>
            <w:textDirection w:val="lrTb"/>
            <w:noWrap w:val="false"/>
          </w:tcPr>
          <w:p>
            <w:pPr>
              <w:ind w:left="0" w:right="0" w:firstLine="0"/>
              <w:jc w:val="righ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设备车辆配备情况</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58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投标人提供吊机、挖掘机、镐头机、运输车设备，自有或租赁均可，每种得2分，最高得8分。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须提供车辆行驶证，无车辆行驶证的需提供购置发票，如为租赁的额外提供租赁合同。以上须提供原件扫描件，材料缺漏或不提供的不得分。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265" w:type="dxa"/>
            <w:vAlign w:val="center"/>
            <w:textDirection w:val="lrTb"/>
            <w:noWrap w:val="false"/>
          </w:tcPr>
          <w:p>
            <w:pPr>
              <w:ind w:left="0" w:right="0" w:firstLine="0"/>
              <w:jc w:val="righ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    （8分）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58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投标人提供自2022年7月1日至今（以合同签订时间为准）实施过类似拆违成功案例的有1例得2分，本项最高得8分。（须提供合同原件扫描件）</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26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06" w:type="dxa"/>
            <w:vAlign w:val="top"/>
            <w:textDirection w:val="lrTb"/>
            <w:noWrap w:val="false"/>
          </w:tcPr>
          <w:p>
            <w:pPr>
              <w:ind w:left="565" w:right="0" w:firstLine="0"/>
              <w:jc w:val="both"/>
              <w:spacing w:before="19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589" w:type="dxa"/>
            <w:vAlign w:val="top"/>
            <w:textDirection w:val="lrTb"/>
            <w:noWrap w:val="false"/>
          </w:tcPr>
          <w:p>
            <w:pPr>
              <w:ind w:left="113" w:right="106" w:firstLine="1"/>
              <w:jc w:val="both"/>
              <w:spacing w:before="35"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投标文</w:t>
            </w:r>
            <w:r>
              <w:rPr>
                <w:rFonts w:ascii="SimSun" w:hAnsi="SimSun" w:eastAsia="SimSun" w:cs="SimSun"/>
                <w:color w:val="000000"/>
                <w:spacing w:val="9"/>
                <w:sz w:val="21"/>
              </w:rPr>
              <w:t xml:space="preserve">件</w:t>
            </w:r>
            <w:r>
              <w:rPr>
                <w:rFonts w:ascii="SimSun" w:hAnsi="SimSun" w:eastAsia="SimSun" w:cs="SimSun"/>
                <w:color w:val="000000"/>
                <w:spacing w:val="5"/>
                <w:sz w:val="21"/>
              </w:rPr>
              <w:t xml:space="preserve">中提供《盐城市大丰区政府招标采购供应商承诺书》的得 1 分，未</w:t>
            </w:r>
            <w:r>
              <w:rPr>
                <w:rFonts w:ascii="SimSun" w:hAnsi="SimSun" w:eastAsia="SimSun" w:cs="SimSun"/>
                <w:color w:val="000000"/>
                <w:spacing w:val="7"/>
                <w:sz w:val="21"/>
              </w:rPr>
              <w:t xml:space="preserve">提供的不得分</w:t>
            </w:r>
            <w:r>
              <w:rPr>
                <w:rFonts w:ascii="SimSun" w:hAnsi="SimSun" w:eastAsia="SimSun" w:cs="SimSun"/>
                <w:color w:val="000000"/>
                <w:spacing w:val="6"/>
                <w:sz w:val="21"/>
              </w:rPr>
              <w:t xml:space="preserve">。</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26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w:t>
            </w:r>
            <w:r/>
          </w:p>
        </w:tc>
      </w:tr>
    </w:tbl>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四.评标程序</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评标准备</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评标委员会成员到达评标现场时应在签到表上签到（或通过门禁系统签到）以证明其出席。</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评标委员会成员首先推选一名评标委员会负责人，负责评标活动的组织领导工作。</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招标人或招标代理机构应向评标委员会提供评标所需的信息和数据。评标委员会负责人应组织评标委员会成员认真研究招标文件，未在招标文件中规定的标准和方法不得作为评标的依据。</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初步评审</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3.2.1评标委员会依据招标文件的规定的标准对投标文件进行初步评审。</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3.2.2投标文件不符合招标文件评审标准的，属于重大偏差，视为未能对招标文件作出实质性响应，应当作为无效投标予以否决。</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3.2.3投标报价有算术错误的，评标委员会按以下原则对投标报价进行修正，修正的价格经投标人书面确认后具有约束力。</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(1）投标文件中的大写金额与小写金额不一致的，以大写金额为准；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(2）总价金额与依据单价计算出的结果不一致的，以单价金额为准修正总价，但单价金额小数点有明显错误的除外。</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3.2.4只有通过初步评审的投标文件才能进入详细评审。</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详细评审</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在详细评审发现符合“无效标书条款”的，应当作为无效投标予以否决，其投标报价亦不作为评标基准价的依据。</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评标委员会按招标文件规定的量化因素和分值进行打分，并计算出综合评估得分。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评分分值计算保留小数点后两位，小数点后第三位“四舍五入”。</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投标文件的澄清和补正</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澄清、说明和补正不得改变投标文件的实质性内容（算术性错误修正的除外）。投标人的书面澄清、说明和补正属于投标文件的组成部分。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评标委员会对投标人提交的澄清、说明或补正有疑问的，可以要求投标人进一步澄清、说明或补正。</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推荐中标候选人或直接确定中标人</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除投标人须知前附表授权直接确定中标人外，评标委员会在推荐中标候选人时，应遵照以下原则: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评标委员会按照最终得分由高至低的次序排列，并根据招标文件规定的中标候选人数量，将排序在前的投标人推荐为中标候选人。</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提交评标报告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评标委员会完成评标后，应当向招标人提交书面评标报告。评标报告应当由全体评标委员会成员签字，并于评标结束时抄送有关行政监督部门。</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第六章  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72"/>
        </w:rPr>
        <w:t xml:space="preserve">投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 目 名 称：</w:t>
      </w:r>
      <w:r>
        <w:rPr>
          <w:rFonts w:ascii="SimSun" w:hAnsi="SimSun" w:eastAsia="SimSun" w:cs="SimSun"/>
          <w:color w:val="000000"/>
          <w:sz w:val="36"/>
          <w:u w:val="single"/>
        </w:rPr>
        <w:t xml:space="preserve">                  </w:t>
      </w:r>
      <w:r/>
    </w:p>
    <w:p>
      <w:pPr>
        <w:ind w:left="0" w:right="0" w:firstLine="1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招 标 编 号：</w:t>
      </w:r>
      <w:r>
        <w:rPr>
          <w:rFonts w:ascii="SimSun" w:hAnsi="SimSun" w:eastAsia="SimSun" w:cs="SimSun"/>
          <w:color w:val="000000"/>
          <w:sz w:val="36"/>
          <w:u w:val="single"/>
        </w:rPr>
        <w:t xml:space="preserve">                  </w:t>
      </w:r>
      <w:r/>
    </w:p>
    <w:p>
      <w:pPr>
        <w:ind w:left="0" w:right="0" w:firstLine="1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供应商名称：</w:t>
      </w:r>
      <w:r>
        <w:rPr>
          <w:rFonts w:ascii="SimSun" w:hAnsi="SimSun" w:eastAsia="SimSun" w:cs="SimSun"/>
          <w:color w:val="000000"/>
          <w:sz w:val="36"/>
          <w:u w:val="single"/>
        </w:rPr>
        <w:t xml:space="preserve">（加盖CA电子公章）</w:t>
      </w:r>
      <w:r/>
    </w:p>
    <w:p>
      <w:pPr>
        <w:ind w:left="0" w:right="0" w:firstLine="1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日      期 ：</w:t>
      </w:r>
      <w:r>
        <w:rPr>
          <w:rFonts w:ascii="SimSun" w:hAnsi="SimSun" w:eastAsia="SimSun" w:cs="SimSun"/>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53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二、上一年度的财务状况报表（至少提供资产负债表、利润表、现金流量表，</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投标人成立不满一年无需提供）</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三、具备履行合同所必需的设备和专业技术能力的书面声明</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六、特定资格要求的证明文件（如果本项目设置特定资格要求，则需要提供）</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八、投标函</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九、小微企业声明函</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十一、联合体协议（参考格式）</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十二、投标分项报价表</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十三、技术要求响应及偏离表</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十五、承诺函</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十六、开标一览表</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十七、技术方案等</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十八、盐城市大丰区政府招标采购供应商承诺书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二、上一年度的财务状况报表（至少提供资产负债表、利润表、现金流量表，投标人成立不满一年无需提供）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30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投标申请人医疗机构执业许可证扫描件</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i/>
          <w:color w:val="000000"/>
          <w:sz w:val="24"/>
          <w:u w:val="single"/>
        </w:rPr>
        <w:t xml:space="preserve">该处填写项目编号</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72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center"/>
        <w:spacing w:before="260" w:after="26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八、投标函</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盐城市大丰区城市管理局</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w:t>
      </w:r>
      <w:r>
        <w:rPr>
          <w:rFonts w:ascii="SimSun" w:hAnsi="SimSun" w:eastAsia="SimSun" w:cs="SimSun"/>
          <w:i/>
          <w:color w:val="000000"/>
          <w:sz w:val="24"/>
          <w:u w:val="single"/>
        </w:rPr>
        <w:t xml:space="preserve">该处填写项目编号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7.与本投标有关的正式通讯地址为：</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 开 户 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九、小微企业声明函（服务）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本公司（联合体）郑重声明，根据《政府采购促进中小企业发展管理办法》(财库[2020]46号)的规定，本公司（联合体）参加采购人组织的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180" w:firstLine="36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7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项目采购活动提供本单位制造的货物，或者提供其他残疾人福利性单位制造的货物（不包括使用非残疾人福利性单位注册商标的货物）。</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备注：1、供应商如不提供此声明函，价格将不做相应扣除（如项目全面面向中小企业，则资格审查不通过）。2、中标供应商为残疾人福利单位的，此声明函将随中标结果同时公告，接受社会监督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十一、联合体协议（参考格式）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自愿组成联合体，参加盐城市政府采购中心组织的采购编号为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项目（分包号：**）的政府采购活动，我联合体指定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十二、投标分项报价表</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3"/>
        <w:gridCol w:w="3610"/>
        <w:gridCol w:w="3045"/>
        <w:gridCol w:w="1465"/>
      </w:tblGrid>
      <w:tr>
        <w:trPr>
          <w:trHeight w:val="7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综合优惠率：  %</w: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十三、技术要求响应及偏离表 </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2523"/>
        <w:gridCol w:w="2149"/>
        <w:gridCol w:w="1076"/>
        <w:gridCol w:w="967"/>
      </w:tblGrid>
      <w:tr>
        <w:trPr>
          <w:trHeight w:val="9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Arial" w:hAnsi="Arial" w:eastAsia="Arial" w:cs="Arial"/>
          <w:color w:val="000000"/>
          <w:sz w:val="24"/>
        </w:rPr>
        <w:t xml:space="preserve"> </w:t>
      </w:r>
      <w:r>
        <w:rPr>
          <w:rFonts w:ascii="SimSun" w:hAnsi="SimSun" w:eastAsia="SimSun" w:cs="SimSun"/>
          <w:color w:val="000000"/>
          <w:sz w:val="24"/>
        </w:rPr>
        <w:t xml:space="preserve">行数不够，可自行添加。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十四、商务要求响应及偏离表 </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4"/>
        <w:gridCol w:w="2051"/>
        <w:gridCol w:w="2185"/>
        <w:gridCol w:w="1077"/>
        <w:gridCol w:w="13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Arial" w:hAnsi="Arial" w:eastAsia="Arial" w:cs="Arial"/>
          <w:color w:val="000000"/>
          <w:sz w:val="24"/>
        </w:rPr>
        <w:t xml:space="preserve"> </w:t>
      </w:r>
      <w:r>
        <w:rPr>
          <w:rFonts w:ascii="SimSun" w:hAnsi="SimSun" w:eastAsia="SimSun" w:cs="SimSun"/>
          <w:color w:val="000000"/>
          <w:sz w:val="24"/>
        </w:rPr>
        <w:t xml:space="preserve">行数不够，可自行添加。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十五、承诺函</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i/>
          <w:color w:val="000000"/>
          <w:sz w:val="32"/>
          <w:u w:val="single"/>
        </w:rPr>
        <w:t xml:space="preserve">十五、开标一览表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w:t>
      </w:r>
      <w:r>
        <w:rPr>
          <w:rFonts w:ascii="Arial" w:hAnsi="Arial" w:eastAsia="Arial" w:cs="Arial"/>
          <w:color w:val="000000"/>
          <w:sz w:val="24"/>
        </w:rPr>
        <w:t xml:space="preserve">CA</w:t>
      </w:r>
      <w:r>
        <w:rPr>
          <w:rFonts w:ascii="SimSun" w:hAnsi="SimSun" w:eastAsia="SimSun" w:cs="SimSun"/>
          <w:color w:val="000000"/>
          <w:sz w:val="24"/>
        </w:rPr>
        <w:t xml:space="preserve">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Arial" w:hAnsi="Arial" w:eastAsia="Arial" w:cs="Arial"/>
          <w:color w:val="000000"/>
          <w:sz w:val="24"/>
        </w:rPr>
        <w:t xml:space="preserve">                                  </w:t>
      </w:r>
      <w:r>
        <w:rPr>
          <w:rFonts w:ascii="SimSun" w:hAnsi="SimSun" w:eastAsia="SimSun" w:cs="SimSun"/>
          <w:color w:val="000000"/>
          <w:sz w:val="24"/>
        </w:rPr>
        <w:t xml:space="preserve">分包号：</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29"/>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9"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综合优惠率</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9"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Arial" w:hAnsi="Arial" w:eastAsia="Arial" w:cs="Arial"/>
                <w:color w:val="000000"/>
                <w:sz w:val="24"/>
              </w:rPr>
              <w:t xml:space="preserve">             </w:t>
            </w:r>
            <w:r>
              <w:rPr>
                <w:rFonts w:ascii="SimSun" w:hAnsi="SimSun" w:eastAsia="SimSun" w:cs="SimSun"/>
                <w:color w:val="000000"/>
                <w:sz w:val="24"/>
              </w:rPr>
              <w:t xml:space="preserve">（</w:t>
            </w:r>
            <w:r>
              <w:rPr>
                <w:rFonts w:ascii="Arial" w:hAnsi="Arial" w:eastAsia="Arial" w:cs="Arial"/>
                <w:color w:val="000000"/>
                <w:sz w:val="24"/>
              </w:rPr>
              <w:t xml:space="preserve">%</w:t>
            </w:r>
            <w:r>
              <w:rPr>
                <w:rFonts w:ascii="SimSun" w:hAnsi="SimSun" w:eastAsia="SimSun" w:cs="SimSun"/>
                <w:color w:val="000000"/>
                <w:sz w:val="24"/>
              </w:rPr>
              <w:t xml:space="preserve">）</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日期：</w:t>
      </w:r>
      <w:r>
        <w:rPr>
          <w:rFonts w:ascii="Arial" w:hAnsi="Arial" w:eastAsia="Arial" w:cs="Arial"/>
          <w:color w:val="000000"/>
          <w:sz w:val="24"/>
        </w:rPr>
        <w:t xml:space="preserve">  </w:t>
      </w:r>
      <w:r>
        <w:rPr>
          <w:rFonts w:ascii="Arial" w:hAnsi="Arial" w:eastAsia="Arial" w:cs="Arial"/>
          <w:color w:val="000000"/>
          <w:sz w:val="24"/>
          <w:u w:val="single"/>
        </w:rPr>
        <w:t xml:space="preserve">          </w:t>
      </w:r>
      <w:r>
        <w:rPr>
          <w:rFonts w:ascii="SimSun" w:hAnsi="SimSun" w:eastAsia="SimSun" w:cs="SimSun"/>
          <w:color w:val="000000"/>
          <w:sz w:val="24"/>
        </w:rPr>
        <w:t xml:space="preserve">年</w:t>
      </w:r>
      <w:r>
        <w:rPr>
          <w:rFonts w:ascii="Arial" w:hAnsi="Arial" w:eastAsia="Arial" w:cs="Arial"/>
          <w:color w:val="000000"/>
          <w:sz w:val="24"/>
          <w:u w:val="single"/>
        </w:rPr>
        <w:t xml:space="preserve">   </w:t>
      </w:r>
      <w:r>
        <w:rPr>
          <w:rFonts w:ascii="SimSun" w:hAnsi="SimSun" w:eastAsia="SimSun" w:cs="SimSun"/>
          <w:color w:val="000000"/>
          <w:sz w:val="24"/>
        </w:rPr>
        <w:t xml:space="preserve">月</w:t>
      </w:r>
      <w:r>
        <w:rPr>
          <w:rFonts w:ascii="Arial" w:hAnsi="Arial" w:eastAsia="Arial" w:cs="Arial"/>
          <w:color w:val="000000"/>
          <w:sz w:val="24"/>
          <w:u w:val="single"/>
        </w:rPr>
        <w:t xml:space="preserve">   </w:t>
      </w:r>
      <w:r>
        <w:rPr>
          <w:rFonts w:ascii="SimSun" w:hAnsi="SimSun" w:eastAsia="SimSun" w:cs="SimSun"/>
          <w:color w:val="000000"/>
          <w:sz w:val="24"/>
        </w:rPr>
        <w:t xml:space="preserve">日</w:t>
      </w:r>
      <w:r/>
    </w:p>
    <w:p>
      <w:pPr>
        <w:ind w:left="0" w:right="0" w:firstLine="64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十六、技术方案等</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十七、</w:t>
      </w:r>
      <w:r/>
    </w:p>
    <w:p>
      <w:pPr>
        <w:ind w:left="0" w:right="0" w:firstLine="0"/>
        <w:jc w:val="center"/>
        <w:spacing w:before="50" w:after="5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50" w:after="5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50" w:after="5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盐城市大丰区政府招标采购供应商承诺书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为营造公开、公平、公正、诚实守信的政府招标采购交易环境，树立诚信守法的投标人形象，本单位参加政府招标采购项目</w:t>
      </w:r>
      <w:r>
        <w:rPr>
          <w:rFonts w:ascii="SimSun" w:hAnsi="SimSun" w:eastAsia="SimSun" w:cs="SimSun"/>
          <w:color w:val="000000"/>
          <w:sz w:val="24"/>
          <w:u w:val="single"/>
        </w:rPr>
        <w:t xml:space="preserve">：           </w:t>
      </w:r>
      <w:r>
        <w:rPr>
          <w:rFonts w:ascii="SimSun" w:hAnsi="SimSun" w:eastAsia="SimSun" w:cs="SimSun"/>
          <w:color w:val="000000"/>
          <w:sz w:val="24"/>
        </w:rPr>
        <w:t xml:space="preserve">的招标采购活动，本人代表本单位作出以下承诺：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经理、技术负责人、从业资质和资格、业绩、财务状况、信誉等所有资料，均合法、真实、准确、有效，无任何伪造、修改、虚假成份，并对所提供资料的真实性负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（三）严格依照国家和省、市关于政府招标采购的法律、法规、规章、规范性文件，参加政府招标采购的投标活动；积极履行社会责任，促进廉政建设；</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（四）严格遵守即时信息公示规定，及时维护和更新盐城市政府采购网、公共资源交易平台中与本单位相关的信息；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left="0" w:right="0" w:firstLine="367"/>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（六）自觉接受政府、行业组织、社会公众、新闻舆论的监督；</w:t>
      </w:r>
      <w:r/>
    </w:p>
    <w:p>
      <w:pPr>
        <w:ind w:left="0" w:right="0" w:firstLine="367"/>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367"/>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（八）本人已认真阅读了上述承诺，并向本单位员工作了宣传教育。</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            单位名称（盖章）：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              年    月    日</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tab/>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tab/>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erReference w:type="default" r:id="rId9"/>
      <w:footerReference w:type="first" r:id="rId10"/>
      <w:footnotePr/>
      <w:endnotePr/>
      <w:type w:val="continuous"/>
      <w:pgSz w:w="11906" w:h="16838" w:orient="portrait"/>
      <w:pgMar w:top="924" w:right="1259" w:bottom="958" w:left="1196" w:header="79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imSun">
    <w:panose1 w:val="02010600030101010101"/>
  </w:font>
  <w:font w:name="Symbol">
    <w:panose1 w:val="05050102010706020507"/>
  </w:font>
  <w:font w:name="Wingdings">
    <w:panose1 w:val="050000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微软雅黑">
    <w:panose1 w:val="020B0503020204020204"/>
  </w:font>
  <w:font w:name="Calibri">
    <w:panose1 w:val="020F0502020204030204"/>
  </w:font>
  <w:font w:name="Courier New">
    <w:panose1 w:val="02070309020205020404"/>
  </w:font>
  <w:font w:name="方正黑体_GBK">
    <w:panose1 w:val="020B0503020202020204"/>
  </w:font>
  <w:font w:name="Cambria">
    <w:panose1 w:val="020405030504060302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r>
      <w:fldChar w:fldCharType="begin"/>
    </w:r>
    <w:r>
      <w:instrText xml:space="preserve">PAGE \* MERGEFORMAT</w:instrText>
    </w:r>
    <w:r>
      <w:fldChar w:fldCharType="separate"/>
    </w:r>
    <w:r>
      <w:t xml:space="preserve">1</w:t>
    </w:r>
    <w:r>
      <w:fldChar w:fldCharType="end"/>
    </w:r>
    <w:r/>
  </w:p>
  <w:p>
    <w:pPr>
      <w:pStyle w:val="7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lear" w:pos="4153" w:leader="none"/>
        <w:tab w:val="center" w:pos="472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hint="default" w:ascii="Arial" w:hAnsi="Arial" w:cs="Arial"/>
      </w:rPr>
    </w:lvl>
    <w:lvl w:ilvl="1">
      <w:start w:val="1"/>
      <w:numFmt w:val="decimal"/>
      <w:isLgl w:val="false"/>
      <w:suff w:val="tab"/>
      <w:lvlText w:val="%1.%2"/>
      <w:lvlJc w:val="left"/>
      <w:pPr>
        <w:ind w:left="992" w:hanging="567"/>
        <w:tabs>
          <w:tab w:val="left" w:pos="992" w:leader="none"/>
        </w:tabs>
      </w:pPr>
      <w:rPr>
        <w:rFonts w:hint="default" w:ascii="Arial" w:hAnsi="Arial" w:cs="Arial"/>
      </w:rPr>
    </w:lvl>
    <w:lvl w:ilvl="2">
      <w:start w:val="1"/>
      <w:numFmt w:val="decimal"/>
      <w:pStyle w:val="915"/>
      <w:isLgl w:val="false"/>
      <w:suff w:val="tab"/>
      <w:lvlText w:val="%1.%2.%3"/>
      <w:lvlJc w:val="left"/>
      <w:pPr>
        <w:ind w:left="1418" w:hanging="567"/>
        <w:tabs>
          <w:tab w:val="left" w:pos="1418" w:leader="none"/>
        </w:tabs>
      </w:pPr>
      <w:rPr>
        <w:rFonts w:hint="default" w:ascii="Arial" w:hAnsi="Arial" w:cs="Arial"/>
      </w:rPr>
    </w:lvl>
    <w:lvl w:ilvl="3">
      <w:start w:val="1"/>
      <w:numFmt w:val="decimal"/>
      <w:pStyle w:val="940"/>
      <w:isLgl w:val="false"/>
      <w:suff w:val="tab"/>
      <w:lvlText w:val="%1.%2.%3.%4"/>
      <w:lvlJc w:val="left"/>
      <w:pPr>
        <w:ind w:left="1984" w:hanging="1984"/>
        <w:tabs>
          <w:tab w:val="left" w:pos="2356" w:leader="none"/>
        </w:tabs>
      </w:pPr>
      <w:rPr>
        <w:rFonts w:hint="default" w:ascii="Arial" w:hAnsi="Arial" w:cs="Arial"/>
      </w:rPr>
    </w:lvl>
    <w:lvl w:ilvl="4">
      <w:start w:val="1"/>
      <w:numFmt w:val="decimal"/>
      <w:isLgl w:val="false"/>
      <w:suff w:val="tab"/>
      <w:lvlText w:val="%1.%2.%3.%4.%5"/>
      <w:lvlJc w:val="left"/>
      <w:pPr>
        <w:ind w:left="2551" w:hanging="2551"/>
        <w:tabs>
          <w:tab w:val="left" w:pos="2781" w:leader="none"/>
        </w:tabs>
      </w:pPr>
      <w:rPr>
        <w:rFonts w:hint="default" w:ascii="Arial" w:hAnsi="Arial" w:cs="Arial"/>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3991" w:leader="none"/>
        </w:tabs>
      </w:pPr>
      <w:rPr>
        <w:rFonts w:hint="eastAsia"/>
      </w:rPr>
    </w:lvl>
    <w:lvl w:ilvl="7">
      <w:start w:val="1"/>
      <w:numFmt w:val="decimal"/>
      <w:isLgl w:val="false"/>
      <w:suff w:val="tab"/>
      <w:lvlText w:val="%1.%2.%3.%4.%5.%6.%7.%8"/>
      <w:lvlJc w:val="left"/>
      <w:pPr>
        <w:ind w:left="4394" w:hanging="1418"/>
        <w:tabs>
          <w:tab w:val="left" w:pos="477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1"/>
      <w:numFmt w:val="japaneseCounting"/>
      <w:isLgl w:val="false"/>
      <w:suff w:val="tab"/>
      <w:lvlText w:val="第%1章"/>
      <w:lvlJc w:val="left"/>
      <w:pPr>
        <w:ind w:left="9351" w:hanging="420"/>
      </w:pPr>
      <w:rPr>
        <w:rFonts w:hint="eastAsia" w:ascii="黑体" w:eastAsia="黑体"/>
        <w:b w:val="0"/>
        <w:sz w:val="36"/>
        <w:lang w:val="en-US"/>
      </w:rPr>
    </w:lvl>
    <w:lvl w:ilvl="1">
      <w:start w:val="1"/>
      <w:numFmt w:val="decimal"/>
      <w:pStyle w:val="918"/>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19"/>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10"/>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2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uiPriority w:val="0"/>
    <w:qFormat/>
    <w:pPr>
      <w:jc w:val="both"/>
      <w:widowControl w:val="off"/>
    </w:pPr>
    <w:rPr>
      <w:rFonts w:hint="default" w:ascii="Times New Roman" w:hAnsi="Times New Roman" w:eastAsia="宋体" w:cs="Times New Roman"/>
      <w:sz w:val="21"/>
      <w:szCs w:val="24"/>
    </w:rPr>
  </w:style>
  <w:style w:type="paragraph" w:styleId="690">
    <w:name w:val="Heading 1"/>
    <w:basedOn w:val="689"/>
    <w:next w:val="689"/>
    <w:link w:val="895"/>
    <w:uiPriority w:val="0"/>
    <w:qFormat/>
    <w:pPr>
      <w:keepNext/>
      <w:outlineLvl w:val="0"/>
    </w:pPr>
    <w:rPr>
      <w:rFonts w:ascii="楷体_GB2312" w:eastAsia="楷体_GB2312"/>
      <w:sz w:val="28"/>
      <w:szCs w:val="20"/>
    </w:rPr>
  </w:style>
  <w:style w:type="paragraph" w:styleId="691">
    <w:name w:val="Heading 2"/>
    <w:basedOn w:val="689"/>
    <w:next w:val="689"/>
    <w:uiPriority w:val="0"/>
    <w:qFormat/>
    <w:pPr>
      <w:jc w:val="center"/>
      <w:keepLines/>
      <w:keepNext/>
      <w:spacing w:before="260" w:after="260" w:line="416" w:lineRule="auto"/>
      <w:outlineLvl w:val="1"/>
    </w:pPr>
    <w:rPr>
      <w:rFonts w:ascii="Arial" w:hAnsi="Arial" w:eastAsia="幼圆"/>
      <w:b/>
      <w:sz w:val="44"/>
      <w:szCs w:val="20"/>
    </w:rPr>
  </w:style>
  <w:style w:type="paragraph" w:styleId="692">
    <w:name w:val="Heading 3"/>
    <w:basedOn w:val="689"/>
    <w:next w:val="689"/>
    <w:uiPriority w:val="0"/>
    <w:qFormat/>
    <w:pPr>
      <w:keepLines/>
      <w:keepNext/>
      <w:spacing w:before="260" w:after="260" w:line="416" w:lineRule="auto"/>
      <w:outlineLvl w:val="2"/>
    </w:pPr>
    <w:rPr>
      <w:b/>
      <w:sz w:val="32"/>
      <w:szCs w:val="20"/>
    </w:rPr>
  </w:style>
  <w:style w:type="paragraph" w:styleId="693">
    <w:name w:val="Heading 4"/>
    <w:basedOn w:val="689"/>
    <w:next w:val="689"/>
    <w:uiPriority w:val="0"/>
    <w:qFormat/>
    <w:pPr>
      <w:keepLines/>
      <w:keepNext/>
      <w:spacing w:before="280" w:after="290" w:line="376" w:lineRule="auto"/>
      <w:outlineLvl w:val="3"/>
    </w:pPr>
    <w:rPr>
      <w:rFonts w:ascii="Arial" w:hAnsi="Arial" w:eastAsia="黑体"/>
      <w:b/>
      <w:bCs/>
      <w:sz w:val="28"/>
      <w:szCs w:val="28"/>
    </w:rPr>
  </w:style>
  <w:style w:type="paragraph" w:styleId="694">
    <w:name w:val="Heading 5"/>
    <w:basedOn w:val="689"/>
    <w:next w:val="689"/>
    <w:uiPriority w:val="0"/>
    <w:qFormat/>
    <w:pPr>
      <w:keepNext/>
      <w:outlineLvl w:val="4"/>
    </w:pPr>
    <w:rPr>
      <w:rFonts w:ascii="宋体" w:hAnsi="宋体"/>
      <w:b/>
      <w:bCs/>
    </w:rPr>
  </w:style>
  <w:style w:type="paragraph" w:styleId="695">
    <w:name w:val="Heading 6"/>
    <w:basedOn w:val="689"/>
    <w:next w:val="689"/>
    <w:link w:val="754"/>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56"/>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57"/>
    <w:uiPriority w:val="9"/>
    <w:unhideWhenUsed/>
    <w:qFormat/>
    <w:pPr>
      <w:keepLines/>
      <w:keepNext/>
      <w:spacing w:before="320" w:after="200"/>
      <w:outlineLvl w:val="8"/>
    </w:pPr>
    <w:rPr>
      <w:rFonts w:ascii="Arial" w:hAnsi="Arial" w:eastAsia="Arial" w:cs="Arial"/>
      <w:i/>
      <w:iCs/>
      <w:sz w:val="21"/>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toc 7"/>
    <w:basedOn w:val="689"/>
    <w:next w:val="689"/>
    <w:uiPriority w:val="0"/>
    <w:semiHidden/>
    <w:qFormat/>
    <w:pPr>
      <w:ind w:left="2520"/>
    </w:pPr>
  </w:style>
  <w:style w:type="paragraph" w:styleId="702">
    <w:name w:val="Normal Indent"/>
    <w:basedOn w:val="689"/>
    <w:link w:val="896"/>
    <w:uiPriority w:val="0"/>
    <w:qFormat/>
    <w:pPr>
      <w:ind w:firstLine="420"/>
    </w:pPr>
    <w:rPr>
      <w:szCs w:val="20"/>
    </w:rPr>
  </w:style>
  <w:style w:type="paragraph" w:styleId="703">
    <w:name w:val="Caption"/>
    <w:basedOn w:val="689"/>
    <w:next w:val="689"/>
    <w:uiPriority w:val="0"/>
    <w:qFormat/>
    <w:rPr>
      <w:rFonts w:ascii="Cambria" w:hAnsi="Cambria" w:eastAsia="黑体"/>
      <w:sz w:val="20"/>
      <w:szCs w:val="20"/>
    </w:rPr>
  </w:style>
  <w:style w:type="paragraph" w:styleId="704">
    <w:name w:val="Document Map"/>
    <w:basedOn w:val="689"/>
    <w:uiPriority w:val="0"/>
    <w:semiHidden/>
    <w:qFormat/>
    <w:pPr>
      <w:shd w:val="clear" w:color="auto" w:fill="000080"/>
    </w:pPr>
  </w:style>
  <w:style w:type="paragraph" w:styleId="705">
    <w:name w:val="toa heading"/>
    <w:basedOn w:val="689"/>
    <w:next w:val="689"/>
    <w:uiPriority w:val="0"/>
    <w:qFormat/>
    <w:pPr>
      <w:spacing w:before="120"/>
    </w:pPr>
    <w:rPr>
      <w:rFonts w:ascii="Arial" w:hAnsi="Arial" w:cs="Arial"/>
      <w:sz w:val="24"/>
    </w:rPr>
  </w:style>
  <w:style w:type="paragraph" w:styleId="706">
    <w:name w:val="annotation text"/>
    <w:basedOn w:val="689"/>
    <w:link w:val="897"/>
    <w:uiPriority w:val="99"/>
    <w:qFormat/>
    <w:pPr>
      <w:jc w:val="left"/>
    </w:pPr>
  </w:style>
  <w:style w:type="paragraph" w:styleId="707">
    <w:name w:val="Body Text 3"/>
    <w:basedOn w:val="689"/>
    <w:uiPriority w:val="0"/>
    <w:qFormat/>
    <w:rPr>
      <w:rFonts w:ascii="仿宋_GB2312" w:hAnsi="Arial" w:eastAsia="仿宋_GB2312"/>
      <w:sz w:val="32"/>
      <w:szCs w:val="20"/>
    </w:rPr>
  </w:style>
  <w:style w:type="paragraph" w:styleId="708">
    <w:name w:val="Body Text"/>
    <w:basedOn w:val="689"/>
    <w:next w:val="709"/>
    <w:link w:val="898"/>
    <w:uiPriority w:val="0"/>
    <w:qFormat/>
    <w:rPr>
      <w:rFonts w:ascii="楷体_GB2312" w:hAnsi="Arial" w:eastAsia="楷体_GB2312"/>
      <w:sz w:val="28"/>
      <w:szCs w:val="20"/>
    </w:rPr>
  </w:style>
  <w:style w:type="paragraph" w:styleId="709">
    <w:name w:val="Date"/>
    <w:basedOn w:val="689"/>
    <w:next w:val="689"/>
    <w:uiPriority w:val="0"/>
    <w:qFormat/>
    <w:rPr>
      <w:sz w:val="24"/>
      <w:szCs w:val="20"/>
    </w:rPr>
  </w:style>
  <w:style w:type="paragraph" w:styleId="710">
    <w:name w:val="Body Text Indent"/>
    <w:basedOn w:val="689"/>
    <w:next w:val="711"/>
    <w:uiPriority w:val="0"/>
    <w:qFormat/>
    <w:pPr>
      <w:ind w:firstLine="645"/>
    </w:pPr>
    <w:rPr>
      <w:rFonts w:ascii="楷体_GB2312" w:eastAsia="楷体_GB2312"/>
      <w:sz w:val="32"/>
      <w:szCs w:val="20"/>
    </w:rPr>
  </w:style>
  <w:style w:type="paragraph" w:styleId="711">
    <w:name w:val="envelope return"/>
    <w:basedOn w:val="689"/>
    <w:uiPriority w:val="99"/>
    <w:unhideWhenUsed/>
    <w:qFormat/>
    <w:rPr>
      <w:rFonts w:ascii="Arial" w:hAnsi="Arial" w:cs="Arial"/>
    </w:rPr>
  </w:style>
  <w:style w:type="paragraph" w:styleId="712">
    <w:name w:val="Block Text"/>
    <w:basedOn w:val="689"/>
    <w:uiPriority w:val="0"/>
    <w:qFormat/>
    <w:pPr>
      <w:ind w:left="-716" w:right="-874" w:hanging="2"/>
    </w:pPr>
    <w:rPr>
      <w:sz w:val="28"/>
    </w:rPr>
  </w:style>
  <w:style w:type="paragraph" w:styleId="713">
    <w:name w:val="index 4"/>
    <w:next w:val="689"/>
    <w:uiPriority w:val="0"/>
    <w:qFormat/>
    <w:pPr>
      <w:ind w:left="960" w:hanging="240"/>
      <w:jc w:val="left"/>
      <w:spacing w:line="360" w:lineRule="auto"/>
      <w:widowControl w:val="off"/>
    </w:pPr>
    <w:rPr>
      <w:rFonts w:hint="default" w:ascii="Times New Roman" w:hAnsi="Times New Roman" w:eastAsia="宋体" w:cs="Times New Roman"/>
      <w:sz w:val="20"/>
      <w:szCs w:val="20"/>
      <w:lang w:val="en-US" w:eastAsia="zh-CN" w:bidi="ar-SA"/>
    </w:rPr>
  </w:style>
  <w:style w:type="paragraph" w:styleId="714">
    <w:name w:val="toc 5"/>
    <w:basedOn w:val="689"/>
    <w:next w:val="689"/>
    <w:uiPriority w:val="0"/>
    <w:semiHidden/>
    <w:qFormat/>
    <w:pPr>
      <w:ind w:left="1680"/>
    </w:pPr>
  </w:style>
  <w:style w:type="paragraph" w:styleId="715">
    <w:name w:val="toc 3"/>
    <w:basedOn w:val="689"/>
    <w:next w:val="689"/>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716">
    <w:name w:val="Plain Text"/>
    <w:basedOn w:val="689"/>
    <w:link w:val="899"/>
    <w:uiPriority w:val="0"/>
    <w:qFormat/>
    <w:rPr>
      <w:rFonts w:hint="eastAsia" w:ascii="宋体" w:hAnsi="Courier New"/>
      <w:szCs w:val="20"/>
    </w:rPr>
  </w:style>
  <w:style w:type="paragraph" w:styleId="717">
    <w:name w:val="toc 8"/>
    <w:basedOn w:val="689"/>
    <w:next w:val="689"/>
    <w:uiPriority w:val="0"/>
    <w:semiHidden/>
    <w:qFormat/>
    <w:pPr>
      <w:ind w:left="2940"/>
    </w:pPr>
  </w:style>
  <w:style w:type="paragraph" w:styleId="718">
    <w:name w:val="Body Text Indent 2"/>
    <w:basedOn w:val="689"/>
    <w:uiPriority w:val="0"/>
    <w:qFormat/>
    <w:pPr>
      <w:ind w:firstLine="560"/>
    </w:pPr>
    <w:rPr>
      <w:rFonts w:ascii="宋体" w:hAnsi="宋体"/>
      <w:sz w:val="28"/>
    </w:rPr>
  </w:style>
  <w:style w:type="paragraph" w:styleId="719">
    <w:name w:val="endnote text"/>
    <w:basedOn w:val="689"/>
    <w:link w:val="893"/>
    <w:uiPriority w:val="99"/>
    <w:semiHidden/>
    <w:unhideWhenUsed/>
    <w:qFormat/>
    <w:pPr>
      <w:spacing w:after="0" w:line="240" w:lineRule="auto"/>
    </w:pPr>
    <w:rPr>
      <w:sz w:val="20"/>
    </w:rPr>
  </w:style>
  <w:style w:type="paragraph" w:styleId="720">
    <w:name w:val="Balloon Text"/>
    <w:basedOn w:val="689"/>
    <w:uiPriority w:val="0"/>
    <w:semiHidden/>
    <w:qFormat/>
    <w:rPr>
      <w:sz w:val="18"/>
      <w:szCs w:val="18"/>
    </w:rPr>
  </w:style>
  <w:style w:type="paragraph" w:styleId="721">
    <w:name w:val="Footer"/>
    <w:basedOn w:val="689"/>
    <w:link w:val="956"/>
    <w:uiPriority w:val="99"/>
    <w:qFormat/>
    <w:pPr>
      <w:jc w:val="left"/>
      <w:tabs>
        <w:tab w:val="center" w:pos="4153" w:leader="none"/>
        <w:tab w:val="right" w:pos="8306" w:leader="none"/>
      </w:tabs>
    </w:pPr>
    <w:rPr>
      <w:sz w:val="18"/>
      <w:szCs w:val="20"/>
    </w:rPr>
  </w:style>
  <w:style w:type="paragraph" w:styleId="722">
    <w:name w:val="Header"/>
    <w:basedOn w:val="689"/>
    <w:uiPriority w:val="0"/>
    <w:qFormat/>
    <w:pPr>
      <w:jc w:val="center"/>
      <w:tabs>
        <w:tab w:val="center" w:pos="4153" w:leader="none"/>
        <w:tab w:val="right" w:pos="8306" w:leader="none"/>
      </w:tabs>
      <w:pBdr>
        <w:bottom w:val="single" w:color="auto" w:sz="6" w:space="1"/>
      </w:pBdr>
    </w:pPr>
    <w:rPr>
      <w:sz w:val="18"/>
      <w:szCs w:val="18"/>
    </w:rPr>
  </w:style>
  <w:style w:type="paragraph" w:styleId="723">
    <w:name w:val="toc 1"/>
    <w:basedOn w:val="689"/>
    <w:next w:val="689"/>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724">
    <w:name w:val="toc 4"/>
    <w:basedOn w:val="689"/>
    <w:next w:val="689"/>
    <w:uiPriority w:val="0"/>
    <w:semiHidden/>
    <w:qFormat/>
    <w:pPr>
      <w:ind w:left="1260"/>
    </w:pPr>
  </w:style>
  <w:style w:type="paragraph" w:styleId="725">
    <w:name w:val="Subtitle"/>
    <w:basedOn w:val="689"/>
    <w:next w:val="689"/>
    <w:link w:val="760"/>
    <w:uiPriority w:val="11"/>
    <w:qFormat/>
    <w:pPr>
      <w:spacing w:before="200" w:after="200"/>
    </w:pPr>
    <w:rPr>
      <w:sz w:val="24"/>
      <w:szCs w:val="24"/>
    </w:rPr>
  </w:style>
  <w:style w:type="paragraph" w:styleId="726">
    <w:name w:val="footnote text"/>
    <w:basedOn w:val="689"/>
    <w:link w:val="892"/>
    <w:uiPriority w:val="99"/>
    <w:semiHidden/>
    <w:unhideWhenUsed/>
    <w:qFormat/>
    <w:pPr>
      <w:spacing w:after="40" w:line="240" w:lineRule="auto"/>
    </w:pPr>
    <w:rPr>
      <w:sz w:val="18"/>
    </w:rPr>
  </w:style>
  <w:style w:type="paragraph" w:styleId="727">
    <w:name w:val="toc 6"/>
    <w:basedOn w:val="689"/>
    <w:next w:val="689"/>
    <w:uiPriority w:val="0"/>
    <w:semiHidden/>
    <w:qFormat/>
    <w:pPr>
      <w:ind w:left="2100"/>
    </w:pPr>
  </w:style>
  <w:style w:type="paragraph" w:styleId="728">
    <w:name w:val="Body Text Indent 3"/>
    <w:basedOn w:val="689"/>
    <w:uiPriority w:val="0"/>
    <w:qFormat/>
    <w:pPr>
      <w:ind w:firstLine="523"/>
    </w:pPr>
    <w:rPr>
      <w:rFonts w:ascii="仿宋_GB2312" w:hAnsi="宋体" w:eastAsia="仿宋_GB2312"/>
      <w:sz w:val="24"/>
    </w:rPr>
  </w:style>
  <w:style w:type="paragraph" w:styleId="729">
    <w:name w:val="index 9"/>
    <w:basedOn w:val="689"/>
    <w:next w:val="689"/>
    <w:uiPriority w:val="0"/>
    <w:qFormat/>
    <w:pPr>
      <w:ind w:left="1600"/>
    </w:pPr>
  </w:style>
  <w:style w:type="paragraph" w:styleId="730">
    <w:name w:val="table of figures"/>
    <w:basedOn w:val="689"/>
    <w:next w:val="689"/>
    <w:uiPriority w:val="99"/>
    <w:unhideWhenUsed/>
    <w:qFormat/>
    <w:pPr>
      <w:spacing w:after="0" w:afterAutospacing="0"/>
    </w:pPr>
  </w:style>
  <w:style w:type="paragraph" w:styleId="731">
    <w:name w:val="toc 2"/>
    <w:basedOn w:val="689"/>
    <w:next w:val="689"/>
    <w:uiPriority w:val="0"/>
    <w:semiHidden/>
    <w:qFormat/>
    <w:pPr>
      <w:jc w:val="left"/>
      <w:spacing w:line="260" w:lineRule="exact"/>
      <w:tabs>
        <w:tab w:val="right" w:pos="9440" w:leader="dot"/>
      </w:tabs>
    </w:pPr>
    <w:rPr>
      <w:rFonts w:ascii="黑体" w:eastAsia="黑体"/>
      <w:b/>
      <w:bCs/>
      <w:smallCaps/>
      <w:sz w:val="18"/>
      <w:szCs w:val="44"/>
    </w:rPr>
  </w:style>
  <w:style w:type="paragraph" w:styleId="732">
    <w:name w:val="toc 9"/>
    <w:basedOn w:val="689"/>
    <w:next w:val="689"/>
    <w:uiPriority w:val="0"/>
    <w:semiHidden/>
    <w:qFormat/>
    <w:pPr>
      <w:ind w:left="3360"/>
    </w:pPr>
  </w:style>
  <w:style w:type="paragraph" w:styleId="733">
    <w:name w:val="Body Text 2"/>
    <w:basedOn w:val="689"/>
    <w:uiPriority w:val="0"/>
    <w:qFormat/>
    <w:pPr>
      <w:jc w:val="center"/>
    </w:pPr>
    <w:rPr>
      <w:rFonts w:ascii="仿宋_GB2312" w:eastAsia="仿宋_GB2312"/>
      <w:sz w:val="44"/>
    </w:rPr>
  </w:style>
  <w:style w:type="paragraph" w:styleId="734">
    <w:name w:val="HTML Preformatted"/>
    <w:basedOn w:val="689"/>
    <w:link w:val="9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35">
    <w:name w:val="Normal (Web)"/>
    <w:basedOn w:val="689"/>
    <w:uiPriority w:val="0"/>
    <w:unhideWhenUsed/>
    <w:qFormat/>
    <w:pPr>
      <w:jc w:val="left"/>
      <w:spacing w:before="100" w:beforeAutospacing="1" w:after="100" w:afterAutospacing="1"/>
      <w:widowControl/>
    </w:pPr>
    <w:rPr>
      <w:rFonts w:ascii="宋体" w:hAnsi="宋体" w:cs="宋体"/>
      <w:sz w:val="24"/>
    </w:rPr>
  </w:style>
  <w:style w:type="paragraph" w:styleId="736">
    <w:name w:val="index 1"/>
    <w:basedOn w:val="689"/>
    <w:next w:val="689"/>
    <w:uiPriority w:val="0"/>
    <w:semiHidden/>
    <w:qFormat/>
    <w:rPr>
      <w:rFonts w:ascii="宋体" w:hAnsi="宋体"/>
      <w:szCs w:val="18"/>
    </w:rPr>
  </w:style>
  <w:style w:type="paragraph" w:styleId="737">
    <w:name w:val="Title"/>
    <w:basedOn w:val="689"/>
    <w:next w:val="689"/>
    <w:link w:val="759"/>
    <w:uiPriority w:val="10"/>
    <w:qFormat/>
    <w:pPr>
      <w:contextualSpacing/>
      <w:spacing w:before="300" w:after="200"/>
    </w:pPr>
    <w:rPr>
      <w:sz w:val="48"/>
      <w:szCs w:val="48"/>
    </w:rPr>
  </w:style>
  <w:style w:type="paragraph" w:styleId="738">
    <w:name w:val="annotation subject"/>
    <w:basedOn w:val="706"/>
    <w:next w:val="706"/>
    <w:link w:val="901"/>
    <w:uiPriority w:val="0"/>
    <w:qFormat/>
    <w:rPr>
      <w:b/>
      <w:bCs/>
    </w:rPr>
  </w:style>
  <w:style w:type="paragraph" w:styleId="739">
    <w:name w:val="Body Text First Indent"/>
    <w:basedOn w:val="689"/>
    <w:uiPriority w:val="0"/>
    <w:qFormat/>
    <w:pPr>
      <w:ind w:firstLine="200"/>
      <w:spacing w:line="360" w:lineRule="auto"/>
    </w:pPr>
    <w:rPr>
      <w:rFonts w:ascii="仿宋_GB2312" w:eastAsia="仿宋_GB2312"/>
      <w:sz w:val="30"/>
      <w:szCs w:val="30"/>
    </w:rPr>
  </w:style>
  <w:style w:type="paragraph" w:styleId="740">
    <w:name w:val="Body Text First Indent 2"/>
    <w:basedOn w:val="710"/>
    <w:next w:val="708"/>
    <w:uiPriority w:val="99"/>
    <w:unhideWhenUsed/>
    <w:qFormat/>
    <w:pPr>
      <w:ind w:firstLine="420"/>
      <w:spacing w:line="360" w:lineRule="auto"/>
    </w:pPr>
    <w:rPr>
      <w:rFonts w:ascii="Calibri" w:hAnsi="Calibri" w:eastAsia="宋体"/>
      <w:sz w:val="21"/>
    </w:rPr>
  </w:style>
  <w:style w:type="table" w:styleId="741">
    <w:name w:val="Table Grid"/>
    <w:basedOn w:val="70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2">
    <w:name w:val="Strong"/>
    <w:uiPriority w:val="22"/>
    <w:qFormat/>
    <w:rPr>
      <w:b/>
      <w:bCs/>
    </w:rPr>
  </w:style>
  <w:style w:type="character" w:styleId="743">
    <w:name w:val="endnote reference"/>
    <w:basedOn w:val="699"/>
    <w:uiPriority w:val="99"/>
    <w:semiHidden/>
    <w:unhideWhenUsed/>
    <w:qFormat/>
    <w:rPr>
      <w:vertAlign w:val="superscript"/>
    </w:rPr>
  </w:style>
  <w:style w:type="character" w:styleId="744">
    <w:name w:val="page number"/>
    <w:uiPriority w:val="0"/>
    <w:qFormat/>
  </w:style>
  <w:style w:type="character" w:styleId="745">
    <w:name w:val="FollowedHyperlink"/>
    <w:uiPriority w:val="99"/>
    <w:qFormat/>
    <w:rPr>
      <w:color w:val="800080"/>
      <w:u w:val="single"/>
    </w:rPr>
  </w:style>
  <w:style w:type="character" w:styleId="746">
    <w:name w:val="Hyperlink"/>
    <w:uiPriority w:val="99"/>
    <w:qFormat/>
    <w:rPr>
      <w:color w:val="0000ff"/>
      <w:u w:val="single"/>
    </w:rPr>
  </w:style>
  <w:style w:type="character" w:styleId="747">
    <w:name w:val="annotation reference"/>
    <w:uiPriority w:val="99"/>
    <w:qFormat/>
    <w:rPr>
      <w:sz w:val="21"/>
      <w:szCs w:val="21"/>
    </w:rPr>
  </w:style>
  <w:style w:type="character" w:styleId="748">
    <w:name w:val="footnote reference"/>
    <w:basedOn w:val="699"/>
    <w:uiPriority w:val="99"/>
    <w:unhideWhenUsed/>
    <w:qFormat/>
    <w:rPr>
      <w:vertAlign w:val="superscript"/>
    </w:rPr>
  </w:style>
  <w:style w:type="character" w:styleId="749" w:customStyle="1">
    <w:name w:val="Heading 1 Char"/>
    <w:basedOn w:val="699"/>
    <w:uiPriority w:val="9"/>
    <w:qFormat/>
    <w:rPr>
      <w:rFonts w:ascii="Arial" w:hAnsi="Arial" w:eastAsia="Arial" w:cs="Arial"/>
      <w:sz w:val="40"/>
      <w:szCs w:val="40"/>
    </w:rPr>
  </w:style>
  <w:style w:type="character" w:styleId="750" w:customStyle="1">
    <w:name w:val="Heading 2 Char"/>
    <w:basedOn w:val="699"/>
    <w:uiPriority w:val="9"/>
    <w:qFormat/>
    <w:rPr>
      <w:rFonts w:ascii="Arial" w:hAnsi="Arial" w:eastAsia="Arial" w:cs="Arial"/>
      <w:sz w:val="34"/>
    </w:rPr>
  </w:style>
  <w:style w:type="character" w:styleId="751" w:customStyle="1">
    <w:name w:val="Heading 3 Char"/>
    <w:basedOn w:val="699"/>
    <w:uiPriority w:val="9"/>
    <w:qFormat/>
    <w:rPr>
      <w:rFonts w:ascii="Arial" w:hAnsi="Arial" w:eastAsia="Arial" w:cs="Arial"/>
      <w:sz w:val="30"/>
      <w:szCs w:val="30"/>
    </w:rPr>
  </w:style>
  <w:style w:type="character" w:styleId="752" w:customStyle="1">
    <w:name w:val="Heading 4 Char"/>
    <w:basedOn w:val="699"/>
    <w:uiPriority w:val="9"/>
    <w:qFormat/>
    <w:rPr>
      <w:rFonts w:ascii="Arial" w:hAnsi="Arial" w:eastAsia="Arial" w:cs="Arial"/>
      <w:b/>
      <w:bCs/>
      <w:sz w:val="26"/>
      <w:szCs w:val="26"/>
    </w:rPr>
  </w:style>
  <w:style w:type="character" w:styleId="753" w:customStyle="1">
    <w:name w:val="Heading 5 Char"/>
    <w:basedOn w:val="699"/>
    <w:uiPriority w:val="9"/>
    <w:qFormat/>
    <w:rPr>
      <w:rFonts w:ascii="Arial" w:hAnsi="Arial" w:eastAsia="Arial" w:cs="Arial"/>
      <w:b/>
      <w:bCs/>
      <w:sz w:val="24"/>
      <w:szCs w:val="24"/>
    </w:rPr>
  </w:style>
  <w:style w:type="character" w:styleId="754" w:customStyle="1">
    <w:name w:val="Heading 6 Char"/>
    <w:basedOn w:val="699"/>
    <w:link w:val="695"/>
    <w:uiPriority w:val="9"/>
    <w:qFormat/>
    <w:rPr>
      <w:rFonts w:ascii="Arial" w:hAnsi="Arial" w:eastAsia="Arial" w:cs="Arial"/>
      <w:b/>
      <w:bCs/>
      <w:sz w:val="22"/>
      <w:szCs w:val="22"/>
    </w:rPr>
  </w:style>
  <w:style w:type="character" w:styleId="755" w:customStyle="1">
    <w:name w:val="Heading 7 Char"/>
    <w:basedOn w:val="699"/>
    <w:link w:val="696"/>
    <w:uiPriority w:val="9"/>
    <w:qFormat/>
    <w:rPr>
      <w:rFonts w:ascii="Arial" w:hAnsi="Arial" w:eastAsia="Arial" w:cs="Arial"/>
      <w:b/>
      <w:bCs/>
      <w:i/>
      <w:iCs/>
      <w:sz w:val="22"/>
      <w:szCs w:val="22"/>
    </w:rPr>
  </w:style>
  <w:style w:type="character" w:styleId="756" w:customStyle="1">
    <w:name w:val="Heading 8 Char"/>
    <w:basedOn w:val="699"/>
    <w:link w:val="697"/>
    <w:uiPriority w:val="9"/>
    <w:qFormat/>
    <w:rPr>
      <w:rFonts w:ascii="Arial" w:hAnsi="Arial" w:eastAsia="Arial" w:cs="Arial"/>
      <w:i/>
      <w:iCs/>
      <w:sz w:val="22"/>
      <w:szCs w:val="22"/>
    </w:rPr>
  </w:style>
  <w:style w:type="character" w:styleId="757" w:customStyle="1">
    <w:name w:val="Heading 9 Char"/>
    <w:basedOn w:val="699"/>
    <w:link w:val="698"/>
    <w:uiPriority w:val="9"/>
    <w:qFormat/>
    <w:rPr>
      <w:rFonts w:ascii="Arial" w:hAnsi="Arial" w:eastAsia="Arial" w:cs="Arial"/>
      <w:i/>
      <w:iCs/>
      <w:sz w:val="21"/>
      <w:szCs w:val="21"/>
    </w:r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character" w:styleId="759" w:customStyle="1">
    <w:name w:val="Title Char"/>
    <w:basedOn w:val="699"/>
    <w:link w:val="737"/>
    <w:uiPriority w:val="10"/>
    <w:qFormat/>
    <w:rPr>
      <w:sz w:val="48"/>
      <w:szCs w:val="48"/>
    </w:rPr>
  </w:style>
  <w:style w:type="character" w:styleId="760" w:customStyle="1">
    <w:name w:val="Subtitle Char"/>
    <w:basedOn w:val="699"/>
    <w:link w:val="725"/>
    <w:uiPriority w:val="11"/>
    <w:qFormat/>
    <w:rPr>
      <w:sz w:val="24"/>
      <w:szCs w:val="24"/>
    </w:rPr>
  </w:style>
  <w:style w:type="paragraph" w:styleId="761">
    <w:name w:val="Quote"/>
    <w:basedOn w:val="689"/>
    <w:next w:val="689"/>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689"/>
    <w:next w:val="689"/>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basedOn w:val="699"/>
    <w:uiPriority w:val="99"/>
    <w:qFormat/>
  </w:style>
  <w:style w:type="character" w:styleId="766" w:customStyle="1">
    <w:name w:val="Caption Char"/>
    <w:uiPriority w:val="99"/>
  </w:style>
  <w:style w:type="table" w:styleId="767" w:customStyle="1">
    <w:name w:val="Table Grid Light"/>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70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70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70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70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70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70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70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70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70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70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70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70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70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70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70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70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70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70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70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basedOn w:val="700"/>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basedOn w:val="70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basedOn w:val="70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basedOn w:val="70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basedOn w:val="70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basedOn w:val="70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basedOn w:val="70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basedOn w:val="70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2" w:customStyle="1">
    <w:name w:val="Grid Table 6 Colorful - Accent 4"/>
    <w:basedOn w:val="70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basedOn w:val="70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basedOn w:val="70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70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70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70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70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70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70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70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70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70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70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70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70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basedOn w:val="70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basedOn w:val="70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basedOn w:val="70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basedOn w:val="70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basedOn w:val="70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basedOn w:val="70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70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basedOn w:val="70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70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70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70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70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70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basedOn w:val="70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basedOn w:val="70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basedOn w:val="70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basedOn w:val="70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basedOn w:val="70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basedOn w:val="70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basedOn w:val="70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basedOn w:val="70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basedOn w:val="70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basedOn w:val="70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basedOn w:val="70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basedOn w:val="70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basedOn w:val="70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basedOn w:val="70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basedOn w:val="70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basedOn w:val="70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basedOn w:val="70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70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70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70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70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70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70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basedOn w:val="70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70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basedOn w:val="70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basedOn w:val="70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basedOn w:val="70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basedOn w:val="70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basedOn w:val="70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basedOn w:val="70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70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basedOn w:val="70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basedOn w:val="70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basedOn w:val="70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basedOn w:val="70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basedOn w:val="70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link w:val="726"/>
    <w:uiPriority w:val="99"/>
    <w:qFormat/>
    <w:rPr>
      <w:sz w:val="18"/>
    </w:rPr>
  </w:style>
  <w:style w:type="character" w:styleId="893" w:customStyle="1">
    <w:name w:val="Endnote Text Char"/>
    <w:link w:val="719"/>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character" w:styleId="895" w:customStyle="1">
    <w:name w:val="标题 1 字符1"/>
    <w:link w:val="690"/>
    <w:uiPriority w:val="0"/>
    <w:qFormat/>
    <w:rPr>
      <w:rFonts w:ascii="楷体_GB2312" w:eastAsia="楷体_GB2312"/>
      <w:sz w:val="28"/>
      <w:lang w:val="en-US" w:eastAsia="zh-CN" w:bidi="ar-SA"/>
    </w:rPr>
  </w:style>
  <w:style w:type="character" w:styleId="896" w:customStyle="1">
    <w:name w:val="正文缩进 字符"/>
    <w:link w:val="702"/>
    <w:uiPriority w:val="0"/>
    <w:qFormat/>
    <w:rPr>
      <w:rFonts w:eastAsia="宋体"/>
      <w:sz w:val="21"/>
      <w:lang w:val="en-US" w:eastAsia="zh-CN" w:bidi="ar-SA"/>
    </w:rPr>
  </w:style>
  <w:style w:type="character" w:styleId="897" w:customStyle="1">
    <w:name w:val="批注文字 字符"/>
    <w:link w:val="706"/>
    <w:uiPriority w:val="99"/>
    <w:qFormat/>
    <w:rPr>
      <w:sz w:val="21"/>
      <w:szCs w:val="24"/>
    </w:rPr>
  </w:style>
  <w:style w:type="character" w:styleId="898" w:customStyle="1">
    <w:name w:val="正文文本 字符"/>
    <w:link w:val="708"/>
    <w:uiPriority w:val="0"/>
    <w:qFormat/>
    <w:rPr>
      <w:rFonts w:ascii="楷体_GB2312" w:hAnsi="Arial" w:eastAsia="楷体_GB2312"/>
      <w:sz w:val="28"/>
    </w:rPr>
  </w:style>
  <w:style w:type="character" w:styleId="899" w:customStyle="1">
    <w:name w:val="纯文本 字符"/>
    <w:link w:val="716"/>
    <w:uiPriority w:val="0"/>
    <w:qFormat/>
    <w:rPr>
      <w:rFonts w:ascii="宋体" w:hAnsi="Courier New"/>
      <w:sz w:val="21"/>
    </w:rPr>
  </w:style>
  <w:style w:type="character" w:styleId="900" w:customStyle="1">
    <w:name w:val="HTML 预设格式 字符"/>
    <w:link w:val="734"/>
    <w:uiPriority w:val="0"/>
    <w:qFormat/>
    <w:rPr>
      <w:rFonts w:ascii="黑体" w:hAnsi="Courier New" w:eastAsia="黑体" w:cs="Courier New"/>
    </w:rPr>
  </w:style>
  <w:style w:type="character" w:styleId="901" w:customStyle="1">
    <w:name w:val="批注主题 字符"/>
    <w:link w:val="738"/>
    <w:uiPriority w:val="0"/>
    <w:qFormat/>
    <w:rPr>
      <w:b/>
      <w:bCs/>
      <w:sz w:val="21"/>
      <w:szCs w:val="24"/>
    </w:rPr>
  </w:style>
  <w:style w:type="paragraph" w:styleId="902" w:customStyle="1">
    <w:name w:val="正文1"/>
    <w:uiPriority w:val="99"/>
    <w:qFormat/>
    <w:pPr>
      <w:ind w:firstLine="200"/>
      <w:spacing w:before="120" w:after="120" w:line="180" w:lineRule="auto"/>
    </w:pPr>
    <w:rPr>
      <w:rFonts w:hint="default" w:ascii="Times New Roman" w:hAnsi="Times New Roman" w:eastAsia="宋体" w:cs="Calibri"/>
      <w:sz w:val="21"/>
      <w:szCs w:val="21"/>
    </w:rPr>
  </w:style>
  <w:style w:type="paragraph" w:styleId="903" w:customStyle="1">
    <w:name w:val="一级条标题"/>
    <w:basedOn w:val="904"/>
    <w:next w:val="90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4" w:customStyle="1">
    <w:name w:val="章标题"/>
    <w:next w:val="68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905" w:customStyle="1">
    <w:name w:val="段"/>
    <w:next w:val="689"/>
    <w:uiPriority w:val="0"/>
    <w:qFormat/>
    <w:pPr>
      <w:ind w:firstLine="420"/>
      <w:jc w:val="both"/>
      <w:tabs>
        <w:tab w:val="center" w:pos="4201" w:leader="none"/>
        <w:tab w:val="right" w:pos="9298" w:leader="dot"/>
      </w:tabs>
    </w:pPr>
    <w:rPr>
      <w:rFonts w:hint="default" w:ascii="宋体" w:hAnsi="Times New Roman" w:eastAsia="宋体" w:cs="Times New Roman"/>
      <w:sz w:val="21"/>
    </w:rPr>
  </w:style>
  <w:style w:type="paragraph" w:styleId="906" w:customStyle="1">
    <w:name w:val="Default"/>
    <w:next w:val="689"/>
    <w:uiPriority w:val="0"/>
    <w:qFormat/>
    <w:pPr>
      <w:widowControl w:val="off"/>
    </w:pPr>
    <w:rPr>
      <w:rFonts w:hint="default" w:ascii="宋体" w:hAnsi="Times New Roman" w:eastAsia="宋体" w:cs="宋体"/>
      <w:color w:val="000000"/>
      <w:sz w:val="24"/>
      <w:szCs w:val="24"/>
    </w:rPr>
  </w:style>
  <w:style w:type="paragraph" w:styleId="907" w:customStyle="1">
    <w:name w:val="BodyText1I"/>
    <w:basedOn w:val="908"/>
    <w:uiPriority w:val="0"/>
    <w:qFormat/>
    <w:pPr>
      <w:ind w:firstLine="420"/>
    </w:pPr>
  </w:style>
  <w:style w:type="paragraph" w:styleId="908" w:customStyle="1">
    <w:name w:val="BodyText"/>
    <w:basedOn w:val="689"/>
    <w:uiPriority w:val="0"/>
    <w:qFormat/>
    <w:pPr>
      <w:spacing w:after="120"/>
    </w:pPr>
    <w:rPr>
      <w:sz w:val="20"/>
    </w:rPr>
  </w:style>
  <w:style w:type="paragraph" w:styleId="909" w:customStyle="1">
    <w:name w:val="BioQuote Tekst"/>
    <w:basedOn w:val="689"/>
    <w:uiPriority w:val="0"/>
    <w:qFormat/>
    <w:pPr>
      <w:ind w:right="-1"/>
    </w:pPr>
    <w:rPr>
      <w:rFonts w:ascii="Arial" w:hAnsi="Arial"/>
      <w:sz w:val="22"/>
      <w:szCs w:val="20"/>
      <w:lang w:eastAsia="en-US"/>
    </w:rPr>
  </w:style>
  <w:style w:type="paragraph" w:styleId="910" w:customStyle="1">
    <w:name w:val="第四级"/>
    <w:basedOn w:val="689"/>
    <w:next w:val="689"/>
    <w:uiPriority w:val="0"/>
    <w:qFormat/>
    <w:pPr>
      <w:numPr>
        <w:ilvl w:val="3"/>
        <w:numId w:val="1"/>
      </w:numPr>
      <w:spacing w:line="360" w:lineRule="auto"/>
    </w:pPr>
    <w:rPr>
      <w:rFonts w:ascii="宋体" w:hAnsi="宋体" w:eastAsia="仿宋"/>
      <w:sz w:val="28"/>
      <w:szCs w:val="21"/>
    </w:rPr>
  </w:style>
  <w:style w:type="paragraph" w:styleId="911" w:customStyle="1">
    <w:name w:val="Char"/>
    <w:basedOn w:val="689"/>
    <w:uiPriority w:val="0"/>
    <w:qFormat/>
    <w:pPr>
      <w:tabs>
        <w:tab w:val="left" w:pos="360" w:leader="none"/>
      </w:tabs>
    </w:pPr>
    <w:rPr>
      <w:sz w:val="24"/>
    </w:rPr>
  </w:style>
  <w:style w:type="paragraph" w:styleId="912" w:customStyle="1">
    <w:name w:val="_Style 50"/>
    <w:uiPriority w:val="99"/>
    <w:semiHidden/>
    <w:qFormat/>
    <w:rPr>
      <w:rFonts w:hint="default" w:ascii="Times New Roman" w:hAnsi="Times New Roman" w:eastAsia="宋体" w:cs="Times New Roman"/>
      <w:sz w:val="21"/>
      <w:szCs w:val="24"/>
    </w:rPr>
  </w:style>
  <w:style w:type="paragraph" w:styleId="913" w:customStyle="1">
    <w:name w:val="Char Char Char Char"/>
    <w:basedOn w:val="704"/>
    <w:uiPriority w:val="0"/>
    <w:qFormat/>
    <w:pPr>
      <w:spacing w:line="360" w:lineRule="auto"/>
    </w:pPr>
    <w:rPr>
      <w:rFonts w:ascii="Tahoma" w:hAnsi="Tahoma"/>
      <w:sz w:val="24"/>
    </w:rPr>
  </w:style>
  <w:style w:type="paragraph" w:styleId="914" w:customStyle="1">
    <w:name w:val="正文-首行缩进2字符"/>
    <w:basedOn w:val="689"/>
    <w:uiPriority w:val="0"/>
    <w:qFormat/>
    <w:pPr>
      <w:ind w:firstLine="200"/>
    </w:pPr>
    <w:rPr>
      <w:rFonts w:ascii="仿宋_GB2312" w:hAnsi="仿宋_GB2312" w:eastAsia="仿宋_GB2312" w:cs="仿宋_GB2312"/>
    </w:rPr>
  </w:style>
  <w:style w:type="paragraph" w:styleId="915" w:customStyle="1">
    <w:name w:val="国图标题3"/>
    <w:basedOn w:val="692"/>
    <w:uiPriority w:val="0"/>
    <w:qFormat/>
    <w:pPr>
      <w:numPr>
        <w:ilvl w:val="2"/>
        <w:numId w:val="2"/>
      </w:numPr>
      <w:spacing w:before="120" w:after="120" w:line="360" w:lineRule="auto"/>
    </w:pPr>
    <w:rPr>
      <w:szCs w:val="28"/>
    </w:rPr>
  </w:style>
  <w:style w:type="paragraph" w:styleId="916" w:customStyle="1">
    <w:name w:val="国图正文小四"/>
    <w:uiPriority w:val="99"/>
    <w:qFormat/>
    <w:pPr>
      <w:ind w:firstLine="420"/>
      <w:jc w:val="both"/>
      <w:spacing w:line="360" w:lineRule="auto"/>
      <w:widowControl w:val="off"/>
    </w:pPr>
    <w:rPr>
      <w:rFonts w:hint="default" w:ascii="Times New Roman" w:hAnsi="Times New Roman" w:eastAsia="宋体" w:cs="Times New Roman"/>
      <w:sz w:val="24"/>
      <w:szCs w:val="24"/>
    </w:rPr>
  </w:style>
  <w:style w:type="paragraph" w:styleId="917" w:customStyle="1">
    <w:name w:val="正文 第一章"/>
    <w:basedOn w:val="689"/>
    <w:next w:val="918"/>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18" w:customStyle="1">
    <w:name w:val="正文 1.1"/>
    <w:basedOn w:val="689"/>
    <w:next w:val="919"/>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19" w:customStyle="1">
    <w:name w:val="正文 1.1.1"/>
    <w:basedOn w:val="689"/>
    <w:next w:val="689"/>
    <w:uiPriority w:val="0"/>
    <w:qFormat/>
    <w:pPr>
      <w:numPr>
        <w:ilvl w:val="2"/>
        <w:numId w:val="1"/>
      </w:numPr>
      <w:spacing w:line="360" w:lineRule="auto"/>
      <w:outlineLvl w:val="2"/>
    </w:pPr>
    <w:rPr>
      <w:rFonts w:ascii="宋体" w:hAnsi="宋体"/>
      <w:color w:val="000000"/>
      <w:sz w:val="28"/>
      <w:szCs w:val="21"/>
    </w:rPr>
  </w:style>
  <w:style w:type="paragraph" w:styleId="920" w:customStyle="1">
    <w:name w:val="附录1"/>
    <w:uiPriority w:val="0"/>
    <w:qFormat/>
    <w:pPr>
      <w:numPr>
        <w:ilvl w:val="0"/>
        <w:numId w:val="3"/>
      </w:numPr>
      <w:spacing w:before="240" w:line="600" w:lineRule="atLeast"/>
    </w:pPr>
    <w:rPr>
      <w:rFonts w:hint="default" w:ascii="Times New Roman" w:hAnsi="Times New Roman" w:eastAsia="宋体" w:cs="Times New Roman"/>
      <w:b/>
      <w:i/>
      <w:sz w:val="28"/>
    </w:rPr>
  </w:style>
  <w:style w:type="paragraph" w:styleId="921" w:customStyle="1">
    <w:name w:val="正文空2格  1."/>
    <w:basedOn w:val="689"/>
    <w:uiPriority w:val="0"/>
    <w:qFormat/>
    <w:pPr>
      <w:ind w:firstLine="480"/>
      <w:spacing w:line="360" w:lineRule="auto"/>
    </w:pPr>
    <w:rPr>
      <w:rFonts w:ascii="宋体" w:eastAsia="仿宋" w:cs="宋体"/>
      <w:sz w:val="28"/>
      <w:szCs w:val="20"/>
    </w:rPr>
  </w:style>
  <w:style w:type="paragraph" w:styleId="922" w:customStyle="1">
    <w:name w:val="Char Char Char Char1 Char Char Char"/>
    <w:basedOn w:val="704"/>
    <w:uiPriority w:val="0"/>
    <w:qFormat/>
    <w:pPr>
      <w:spacing w:line="360" w:lineRule="auto"/>
    </w:pPr>
    <w:rPr>
      <w:rFonts w:ascii="Tahoma" w:hAnsi="Tahoma"/>
      <w:sz w:val="24"/>
    </w:rPr>
  </w:style>
  <w:style w:type="paragraph" w:styleId="923" w:customStyle="1">
    <w:name w:val="Char Char Char Char1 Char Char"/>
    <w:basedOn w:val="689"/>
    <w:uiPriority w:val="0"/>
    <w:qFormat/>
    <w:pPr>
      <w:tabs>
        <w:tab w:val="left" w:pos="360" w:leader="none"/>
      </w:tabs>
    </w:pPr>
    <w:rPr>
      <w:sz w:val="24"/>
    </w:rPr>
  </w:style>
  <w:style w:type="paragraph" w:styleId="924" w:customStyle="1">
    <w:name w:val="Char1"/>
    <w:basedOn w:val="689"/>
    <w:uiPriority w:val="0"/>
    <w:qFormat/>
    <w:pPr>
      <w:tabs>
        <w:tab w:val="left" w:pos="360" w:leader="none"/>
      </w:tabs>
    </w:pPr>
    <w:rPr>
      <w:sz w:val="24"/>
    </w:rPr>
  </w:style>
  <w:style w:type="paragraph" w:styleId="925" w:customStyle="1">
    <w:name w:val="标书正文格式"/>
    <w:uiPriority w:val="0"/>
    <w:qFormat/>
    <w:pPr>
      <w:ind w:firstLine="200"/>
      <w:spacing w:line="360" w:lineRule="auto"/>
    </w:pPr>
    <w:rPr>
      <w:rFonts w:hint="default" w:ascii="Times New Roman" w:hAnsi="Times New Roman" w:eastAsia="楷体_GB2312" w:cs="Times New Roman"/>
      <w:sz w:val="24"/>
      <w:szCs w:val="24"/>
    </w:rPr>
  </w:style>
  <w:style w:type="paragraph" w:styleId="926" w:customStyle="1">
    <w:name w:val="HTML 预先格式化"/>
    <w:basedOn w:val="6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27" w:customStyle="1">
    <w:name w:val="列出段落1"/>
    <w:basedOn w:val="689"/>
    <w:link w:val="928"/>
    <w:uiPriority w:val="0"/>
    <w:qFormat/>
    <w:pPr>
      <w:contextualSpacing/>
      <w:ind w:left="720"/>
      <w:jc w:val="left"/>
      <w:widowControl/>
    </w:pPr>
    <w:rPr>
      <w:sz w:val="24"/>
      <w:lang w:eastAsia="en-US" w:bidi="en-US"/>
    </w:rPr>
  </w:style>
  <w:style w:type="character" w:styleId="928" w:customStyle="1">
    <w:name w:val="列出段落 Char"/>
    <w:link w:val="927"/>
    <w:uiPriority w:val="0"/>
    <w:qFormat/>
    <w:rPr>
      <w:rFonts w:ascii="Calibri" w:hAnsi="Calibri"/>
      <w:sz w:val="24"/>
      <w:szCs w:val="24"/>
      <w:lang w:eastAsia="en-US" w:bidi="en-US"/>
    </w:rPr>
  </w:style>
  <w:style w:type="paragraph" w:styleId="929" w:customStyle="1">
    <w:name w:val="Coms Alinea"/>
    <w:uiPriority w:val="0"/>
    <w:qFormat/>
    <w:pPr>
      <w:widowControl w:val="off"/>
    </w:pPr>
    <w:rPr>
      <w:rFonts w:hint="default" w:ascii="Arial" w:hAnsi="Arial" w:eastAsia="宋体" w:cs="Arial"/>
    </w:rPr>
  </w:style>
  <w:style w:type="paragraph" w:styleId="930" w:customStyle="1">
    <w:name w:val="标题3"/>
    <w:basedOn w:val="689"/>
    <w:next w:val="689"/>
    <w:uiPriority w:val="0"/>
    <w:qFormat/>
    <w:rPr>
      <w:rFonts w:eastAsia="方正黑体_GBK"/>
    </w:rPr>
  </w:style>
  <w:style w:type="paragraph" w:styleId="931" w:customStyle="1">
    <w:name w:val="标题2"/>
    <w:basedOn w:val="689"/>
    <w:next w:val="689"/>
    <w:uiPriority w:val="0"/>
    <w:qFormat/>
    <w:pPr>
      <w:jc w:val="center"/>
    </w:pPr>
    <w:rPr>
      <w:rFonts w:eastAsia="方正楷体_GBK"/>
    </w:rPr>
  </w:style>
  <w:style w:type="paragraph" w:styleId="932" w:customStyle="1">
    <w:name w:val="普通正文"/>
    <w:basedOn w:val="689"/>
    <w:uiPriority w:val="0"/>
    <w:qFormat/>
    <w:pPr>
      <w:ind w:firstLine="480"/>
      <w:jc w:val="left"/>
      <w:spacing w:before="120" w:after="120" w:line="360" w:lineRule="auto"/>
    </w:pPr>
    <w:rPr>
      <w:rFonts w:ascii="Arial" w:hAnsi="Arial"/>
      <w:sz w:val="24"/>
    </w:rPr>
  </w:style>
  <w:style w:type="paragraph" w:styleId="933" w:customStyle="1">
    <w:name w:val="Char2"/>
    <w:basedOn w:val="689"/>
    <w:uiPriority w:val="0"/>
    <w:qFormat/>
    <w:rPr>
      <w:rFonts w:ascii="Tahoma" w:hAnsi="Tahoma"/>
      <w:sz w:val="24"/>
      <w:szCs w:val="20"/>
    </w:rPr>
  </w:style>
  <w:style w:type="paragraph" w:styleId="934" w:customStyle="1">
    <w:name w:val="xl47"/>
    <w:basedOn w:val="689"/>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35" w:customStyle="1">
    <w:name w:val="Table Text"/>
    <w:uiPriority w:val="0"/>
    <w:qFormat/>
    <w:pPr>
      <w:jc w:val="center"/>
      <w:spacing w:after="80"/>
    </w:pPr>
    <w:rPr>
      <w:rFonts w:hint="default" w:ascii="仿宋_GB2312" w:hAnsi="宋体" w:eastAsia="仿宋_GB2312" w:cs="Times New Roman"/>
      <w:sz w:val="24"/>
    </w:rPr>
  </w:style>
  <w:style w:type="paragraph" w:styleId="936" w:customStyle="1">
    <w:name w:val="标题1"/>
    <w:basedOn w:val="689"/>
    <w:next w:val="689"/>
    <w:uiPriority w:val="0"/>
    <w:qFormat/>
    <w:pPr>
      <w:jc w:val="center"/>
      <w:spacing w:line="700" w:lineRule="atLeast"/>
      <w:tabs>
        <w:tab w:val="left" w:pos="9193" w:leader="none"/>
        <w:tab w:val="left" w:pos="9827" w:leader="none"/>
      </w:tabs>
    </w:pPr>
    <w:rPr>
      <w:rFonts w:eastAsia="方正小标宋_GBK"/>
      <w:sz w:val="44"/>
    </w:rPr>
  </w:style>
  <w:style w:type="paragraph" w:styleId="937" w:customStyle="1">
    <w:name w:val="正文缩进2"/>
    <w:basedOn w:val="689"/>
    <w:uiPriority w:val="0"/>
    <w:qFormat/>
    <w:pPr>
      <w:ind w:firstLine="540"/>
    </w:pPr>
    <w:rPr>
      <w:rFonts w:ascii="仿宋_GB2312" w:eastAsia="仿宋_GB2312"/>
      <w:sz w:val="28"/>
      <w:lang w:val="zh-CN"/>
    </w:rPr>
  </w:style>
  <w:style w:type="paragraph" w:styleId="938">
    <w:name w:val="List Paragraph"/>
    <w:basedOn w:val="689"/>
    <w:uiPriority w:val="0"/>
    <w:qFormat/>
    <w:pPr>
      <w:ind w:firstLine="420"/>
    </w:pPr>
    <w:rPr>
      <w:rFonts w:ascii="Calibri" w:hAnsi="Calibri"/>
      <w:szCs w:val="22"/>
    </w:rPr>
  </w:style>
  <w:style w:type="paragraph" w:styleId="939" w:customStyle="1">
    <w:name w:val="默认段落字体 Para Char Char Char Char Char Char Char Char Char1 Char Char Char Char Char Char Char"/>
    <w:basedOn w:val="704"/>
    <w:uiPriority w:val="0"/>
    <w:qFormat/>
    <w:rPr>
      <w:rFonts w:ascii="Tahoma" w:hAnsi="Tahoma"/>
      <w:sz w:val="24"/>
    </w:rPr>
  </w:style>
  <w:style w:type="paragraph" w:styleId="940" w:customStyle="1">
    <w:name w:val="国图标题4"/>
    <w:basedOn w:val="693"/>
    <w:uiPriority w:val="0"/>
    <w:qFormat/>
    <w:pPr>
      <w:numPr>
        <w:ilvl w:val="3"/>
        <w:numId w:val="2"/>
      </w:numPr>
      <w:spacing w:line="360" w:lineRule="auto"/>
      <w:tabs>
        <w:tab w:val="left" w:pos="900" w:leader="none"/>
      </w:tabs>
    </w:pPr>
    <w:rPr>
      <w:rFonts w:ascii="宋体" w:hAnsi="宋体"/>
      <w:sz w:val="24"/>
    </w:rPr>
  </w:style>
  <w:style w:type="paragraph" w:styleId="941" w:customStyle="1">
    <w:name w:val="正文2"/>
    <w:basedOn w:val="689"/>
    <w:uiPriority w:val="0"/>
    <w:qFormat/>
    <w:pPr>
      <w:ind w:firstLine="420"/>
    </w:pPr>
    <w:rPr>
      <w:sz w:val="28"/>
    </w:rPr>
  </w:style>
  <w:style w:type="character" w:styleId="942" w:customStyle="1">
    <w:name w:val="jj1"/>
    <w:uiPriority w:val="0"/>
    <w:qFormat/>
    <w:rPr>
      <w:sz w:val="20"/>
      <w:szCs w:val="20"/>
      <w:u w:val="none"/>
    </w:rPr>
  </w:style>
  <w:style w:type="character" w:styleId="943" w:customStyle="1">
    <w:name w:val="标题2 Char"/>
    <w:uiPriority w:val="0"/>
    <w:qFormat/>
    <w:rPr>
      <w:rFonts w:ascii="方正楷体_GBK" w:hAnsi="Book Antiqua" w:eastAsia="方正楷体_GBK"/>
      <w:sz w:val="32"/>
      <w:lang w:val="en-US" w:eastAsia="zh-CN" w:bidi="ar-SA"/>
    </w:rPr>
  </w:style>
  <w:style w:type="character" w:styleId="944" w:customStyle="1">
    <w:name w:val="NormalCharacter"/>
    <w:uiPriority w:val="0"/>
    <w:qFormat/>
    <w:rPr>
      <w:sz w:val="21"/>
      <w:szCs w:val="22"/>
      <w:lang w:val="en-US" w:eastAsia="zh-CN" w:bidi="ar-SA"/>
    </w:rPr>
  </w:style>
  <w:style w:type="paragraph" w:styleId="945" w:customStyle="1">
    <w:name w:val="二级标题2"/>
    <w:basedOn w:val="691"/>
    <w:next w:val="708"/>
    <w:uiPriority w:val="0"/>
    <w:qFormat/>
    <w:pPr>
      <w:jc w:val="both"/>
      <w:spacing w:before="0" w:after="0" w:line="360" w:lineRule="auto"/>
    </w:pPr>
    <w:rPr>
      <w:rFonts w:ascii="华文中宋" w:hAnsi="华文中宋" w:eastAsia="华文中宋"/>
      <w:bCs/>
      <w:sz w:val="24"/>
      <w:szCs w:val="24"/>
    </w:rPr>
  </w:style>
  <w:style w:type="paragraph" w:styleId="946" w:customStyle="1">
    <w:name w:val="表格"/>
    <w:basedOn w:val="689"/>
    <w:uiPriority w:val="0"/>
    <w:qFormat/>
    <w:pPr>
      <w:jc w:val="center"/>
      <w:spacing w:line="360" w:lineRule="exact"/>
    </w:pPr>
    <w:rPr>
      <w:rFonts w:ascii="Calibri" w:hAnsi="Calibri"/>
      <w:sz w:val="28"/>
      <w:szCs w:val="21"/>
    </w:rPr>
  </w:style>
  <w:style w:type="paragraph" w:styleId="947" w:customStyle="1">
    <w:name w:val="WPSOffice手动目录 1"/>
    <w:uiPriority w:val="0"/>
    <w:qFormat/>
    <w:rPr>
      <w:rFonts w:hint="default" w:ascii="Times New Roman" w:hAnsi="Times New Roman" w:eastAsia="宋体" w:cs="Times New Roman"/>
    </w:rPr>
  </w:style>
  <w:style w:type="paragraph" w:styleId="948" w:customStyle="1">
    <w:name w:val="NormalIndent"/>
    <w:basedOn w:val="689"/>
    <w:uiPriority w:val="0"/>
    <w:qFormat/>
    <w:pPr>
      <w:ind w:firstLine="420"/>
    </w:pPr>
  </w:style>
  <w:style w:type="paragraph" w:styleId="949" w:customStyle="1">
    <w:name w:val="普通(网站)1"/>
    <w:basedOn w:val="689"/>
    <w:uiPriority w:val="99"/>
    <w:qFormat/>
    <w:pPr>
      <w:jc w:val="left"/>
      <w:spacing w:before="100" w:beforeAutospacing="1" w:after="100" w:afterAutospacing="1"/>
      <w:widowControl/>
    </w:pPr>
    <w:rPr>
      <w:rFonts w:ascii="宋体" w:hAnsi="宋体" w:cs="宋体"/>
      <w:sz w:val="24"/>
    </w:rPr>
  </w:style>
  <w:style w:type="paragraph" w:styleId="950" w:customStyle="1">
    <w:name w:val="首行缩进"/>
    <w:basedOn w:val="689"/>
    <w:uiPriority w:val="0"/>
    <w:qFormat/>
    <w:pPr>
      <w:ind w:firstLine="480"/>
      <w:spacing w:line="360" w:lineRule="auto"/>
    </w:pPr>
    <w:rPr>
      <w:rFonts w:ascii="宋体" w:hAnsi="宋体" w:cs="宋体"/>
      <w:sz w:val="24"/>
    </w:rPr>
  </w:style>
  <w:style w:type="paragraph" w:styleId="951" w:customStyle="1">
    <w:name w:val="页脚1"/>
    <w:basedOn w:val="689"/>
    <w:link w:val="952"/>
    <w:uiPriority w:val="99"/>
    <w:unhideWhenUsed/>
    <w:qFormat/>
    <w:pPr>
      <w:tabs>
        <w:tab w:val="center" w:pos="7143" w:leader="none"/>
        <w:tab w:val="right" w:pos="14287" w:leader="none"/>
      </w:tabs>
    </w:pPr>
  </w:style>
  <w:style w:type="character" w:styleId="952" w:customStyle="1">
    <w:name w:val="Footer Char"/>
    <w:link w:val="951"/>
    <w:uiPriority w:val="99"/>
    <w:qFormat/>
    <w:rPr>
      <w:sz w:val="21"/>
      <w:szCs w:val="24"/>
    </w:rPr>
  </w:style>
  <w:style w:type="character" w:styleId="953" w:customStyle="1">
    <w:name w:val="标题 1 字符"/>
    <w:uiPriority w:val="0"/>
    <w:qFormat/>
    <w:rPr>
      <w:rFonts w:ascii="楷体_GB2312" w:eastAsia="楷体_GB2312"/>
      <w:sz w:val="28"/>
      <w:lang w:val="en-US" w:eastAsia="zh-CN" w:bidi="ar-SA"/>
    </w:rPr>
  </w:style>
  <w:style w:type="paragraph" w:styleId="954" w:customStyle="1">
    <w:name w:val="_Style 114"/>
    <w:basedOn w:val="710"/>
    <w:next w:val="740"/>
    <w:uiPriority w:val="99"/>
    <w:unhideWhenUsed/>
    <w:qFormat/>
    <w:pPr>
      <w:ind w:firstLine="420"/>
      <w:spacing w:line="360" w:lineRule="auto"/>
    </w:pPr>
    <w:rPr>
      <w:rFonts w:ascii="Calibri" w:hAnsi="Calibri" w:eastAsia="宋体"/>
      <w:sz w:val="21"/>
    </w:rPr>
  </w:style>
  <w:style w:type="paragraph" w:styleId="955" w:customStyle="1">
    <w:name w:val="列出段落3"/>
    <w:basedOn w:val="689"/>
    <w:uiPriority w:val="0"/>
    <w:qFormat/>
    <w:pPr>
      <w:ind w:firstLine="420"/>
    </w:pPr>
    <w:rPr>
      <w:szCs w:val="20"/>
    </w:rPr>
  </w:style>
  <w:style w:type="character" w:styleId="956" w:customStyle="1">
    <w:name w:val="页脚 字符"/>
    <w:basedOn w:val="699"/>
    <w:link w:val="721"/>
    <w:uiPriority w:val="99"/>
    <w:qFormat/>
    <w:rPr>
      <w:sz w:val="18"/>
    </w:rPr>
  </w:style>
  <w:style w:type="character" w:styleId="957" w:customStyle="1">
    <w:name w:val="纯文本 字符1"/>
    <w:uiPriority w:val="0"/>
    <w:qFormat/>
    <w:rPr>
      <w:rFonts w:ascii="宋体" w:hAnsi="Courier New"/>
      <w:sz w:val="28"/>
    </w:rPr>
  </w:style>
  <w:style w:type="paragraph" w:styleId="958" w:customStyle="1">
    <w:name w:val="msonormal"/>
    <w:basedOn w:val="689"/>
    <w:uiPriority w:val="0"/>
    <w:pPr>
      <w:jc w:val="left"/>
      <w:spacing w:before="100" w:beforeAutospacing="1" w:after="100" w:afterAutospacing="1"/>
      <w:widowControl/>
    </w:pPr>
    <w:rPr>
      <w:rFonts w:ascii="宋体" w:hAnsi="宋体" w:cs="宋体"/>
      <w:sz w:val="24"/>
    </w:rPr>
  </w:style>
  <w:style w:type="paragraph" w:styleId="959" w:customStyle="1">
    <w:name w:val="font5"/>
    <w:basedOn w:val="689"/>
    <w:uiPriority w:val="0"/>
    <w:pPr>
      <w:jc w:val="left"/>
      <w:spacing w:before="100" w:beforeAutospacing="1" w:after="100" w:afterAutospacing="1"/>
      <w:widowControl/>
    </w:pPr>
    <w:rPr>
      <w:rFonts w:ascii="宋体" w:hAnsi="宋体" w:cs="宋体"/>
      <w:sz w:val="18"/>
      <w:szCs w:val="18"/>
    </w:rPr>
  </w:style>
  <w:style w:type="paragraph" w:styleId="960" w:customStyle="1">
    <w:name w:val="font6"/>
    <w:basedOn w:val="689"/>
    <w:uiPriority w:val="0"/>
    <w:qFormat/>
    <w:pPr>
      <w:jc w:val="left"/>
      <w:spacing w:before="100" w:beforeAutospacing="1" w:after="100" w:afterAutospacing="1"/>
      <w:widowControl/>
    </w:pPr>
    <w:rPr>
      <w:rFonts w:ascii="Arial" w:hAnsi="Arial" w:cs="Arial"/>
      <w:color w:val="000000"/>
      <w:sz w:val="20"/>
      <w:szCs w:val="20"/>
    </w:rPr>
  </w:style>
  <w:style w:type="paragraph" w:styleId="961" w:customStyle="1">
    <w:name w:val="font7"/>
    <w:basedOn w:val="689"/>
    <w:uiPriority w:val="0"/>
    <w:pPr>
      <w:jc w:val="left"/>
      <w:spacing w:before="100" w:beforeAutospacing="1" w:after="100" w:afterAutospacing="1"/>
      <w:widowControl/>
    </w:pPr>
    <w:rPr>
      <w:rFonts w:ascii="宋体" w:hAnsi="宋体" w:cs="宋体"/>
      <w:color w:val="000000"/>
      <w:sz w:val="20"/>
      <w:szCs w:val="20"/>
    </w:rPr>
  </w:style>
  <w:style w:type="paragraph" w:styleId="962" w:customStyle="1">
    <w:name w:val="font8"/>
    <w:basedOn w:val="689"/>
    <w:uiPriority w:val="0"/>
    <w:pPr>
      <w:jc w:val="left"/>
      <w:spacing w:before="100" w:beforeAutospacing="1" w:after="100" w:afterAutospacing="1"/>
      <w:widowControl/>
    </w:pPr>
    <w:rPr>
      <w:rFonts w:ascii="Arial" w:hAnsi="Arial" w:cs="Arial"/>
      <w:color w:val="000000"/>
      <w:sz w:val="20"/>
      <w:szCs w:val="20"/>
    </w:rPr>
  </w:style>
  <w:style w:type="paragraph" w:styleId="963" w:customStyle="1">
    <w:name w:val="font9"/>
    <w:basedOn w:val="689"/>
    <w:uiPriority w:val="0"/>
    <w:qFormat/>
    <w:pPr>
      <w:jc w:val="left"/>
      <w:spacing w:before="100" w:beforeAutospacing="1" w:after="100" w:afterAutospacing="1"/>
      <w:widowControl/>
    </w:pPr>
    <w:rPr>
      <w:rFonts w:ascii="宋体" w:hAnsi="宋体" w:cs="宋体"/>
      <w:sz w:val="20"/>
      <w:szCs w:val="20"/>
    </w:rPr>
  </w:style>
  <w:style w:type="paragraph" w:styleId="964" w:customStyle="1">
    <w:name w:val="xl63"/>
    <w:basedOn w:val="68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5" w:customStyle="1">
    <w:name w:val="xl64"/>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6" w:customStyle="1">
    <w:name w:val="xl65"/>
    <w:basedOn w:val="689"/>
    <w:uiPriority w:val="0"/>
    <w:qFormat/>
    <w:pPr>
      <w:jc w:val="left"/>
      <w:spacing w:before="100" w:beforeAutospacing="1" w:after="100" w:afterAutospacing="1"/>
      <w:widowControl/>
    </w:pPr>
    <w:rPr>
      <w:rFonts w:ascii="宋体" w:hAnsi="宋体" w:cs="宋体"/>
      <w:sz w:val="20"/>
      <w:szCs w:val="20"/>
    </w:rPr>
  </w:style>
  <w:style w:type="paragraph" w:styleId="967" w:customStyle="1">
    <w:name w:val="xl66"/>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8" w:customStyle="1">
    <w:name w:val="xl67"/>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9" w:customStyle="1">
    <w:name w:val="xl68"/>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70" w:customStyle="1">
    <w:name w:val="xl69"/>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1" w:customStyle="1">
    <w:name w:val="xl70"/>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2" w:customStyle="1">
    <w:name w:val="xl71"/>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3" w:customStyle="1">
    <w:name w:val="xl72"/>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4" w:customStyle="1">
    <w:name w:val="xl73"/>
    <w:basedOn w:val="68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75" w:customStyle="1">
    <w:name w:val="xl74"/>
    <w:basedOn w:val="68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976" w:customStyle="1">
    <w:name w:val="xl75"/>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7" w:customStyle="1">
    <w:name w:val="xl76"/>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78" w:customStyle="1">
    <w:name w:val="xl77"/>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9" w:customStyle="1">
    <w:name w:val="xl78"/>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980" w:customStyle="1">
    <w:name w:val="xl79"/>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981" w:customStyle="1">
    <w:name w:val="xl80"/>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2" w:customStyle="1">
    <w:name w:val="xl81"/>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83" w:customStyle="1">
    <w:name w:val="xl82"/>
    <w:basedOn w:val="689"/>
    <w:uiPriority w:val="0"/>
    <w:qFormat/>
    <w:pPr>
      <w:jc w:val="center"/>
      <w:spacing w:before="100" w:beforeAutospacing="1" w:after="100" w:afterAutospacing="1"/>
      <w:widowControl/>
    </w:pPr>
    <w:rPr>
      <w:rFonts w:ascii="宋体" w:hAnsi="宋体" w:cs="宋体"/>
      <w:sz w:val="20"/>
      <w:szCs w:val="20"/>
    </w:rPr>
  </w:style>
  <w:style w:type="paragraph" w:styleId="984" w:customStyle="1">
    <w:name w:val="xl83"/>
    <w:basedOn w:val="689"/>
    <w:uiPriority w:val="0"/>
    <w:qFormat/>
    <w:pPr>
      <w:jc w:val="center"/>
      <w:spacing w:before="100" w:beforeAutospacing="1" w:after="100" w:afterAutospacing="1"/>
      <w:widowControl/>
    </w:pPr>
    <w:rPr>
      <w:rFonts w:ascii="宋体" w:hAnsi="宋体" w:cs="宋体"/>
      <w:sz w:val="20"/>
      <w:szCs w:val="20"/>
    </w:rPr>
  </w:style>
  <w:style w:type="paragraph" w:styleId="985" w:customStyle="1">
    <w:name w:val="xl84"/>
    <w:basedOn w:val="689"/>
    <w:uiPriority w:val="0"/>
    <w:qFormat/>
    <w:pPr>
      <w:jc w:val="left"/>
      <w:spacing w:before="100" w:beforeAutospacing="1" w:after="100" w:afterAutospacing="1"/>
      <w:widowControl/>
    </w:pPr>
    <w:rPr>
      <w:rFonts w:ascii="宋体" w:hAnsi="宋体" w:cs="宋体"/>
      <w:sz w:val="20"/>
      <w:szCs w:val="20"/>
    </w:rPr>
  </w:style>
  <w:style w:type="paragraph" w:styleId="986" w:customStyle="1">
    <w:name w:val="xl85"/>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7" w:customStyle="1">
    <w:name w:val="xl86"/>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8" w:customStyle="1">
    <w:name w:val="Revision"/>
    <w:hidden/>
    <w:uiPriority w:val="99"/>
    <w:semiHidden/>
    <w:qFormat/>
    <w:rPr>
      <w:rFonts w:hint="default" w:ascii="Times New Roman" w:hAnsi="Times New Roman" w:eastAsia="宋体" w:cs="Times New Roman"/>
      <w:sz w:val="21"/>
      <w:szCs w:val="24"/>
    </w:rPr>
  </w:style>
  <w:style w:type="numbering" w:styleId="125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0B0069-6E63-48FD-83AA-26F85E0CC69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标准化磋商文件</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顾伟伟</dc:creator>
  <cp:lastModifiedBy>杨友龙</cp:lastModifiedBy>
  <cp:revision>148</cp:revision>
  <dcterms:created xsi:type="dcterms:W3CDTF">2024-05-06T08:35:00Z</dcterms:created>
  <dcterms:modified xsi:type="dcterms:W3CDTF">2025-11-06T06:46:21Z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14ABBE8482E04ACFA9F871A44712DC5B_13</vt:lpwstr>
  </property>
  <property fmtid="{D5CDD505-2E9C-101B-9397-08002B2CF9AE}" pid="3" name="KSOProductBuildVer">
    <vt:lpwstr>2052-12.1.0.23125</vt:lpwstr>
  </property>
  <property fmtid="{D5CDD505-2E9C-101B-9397-08002B2CF9AE}" pid="4" name="KSOTemplateDocerSaveRecord">
    <vt:lpwstr>eyJoZGlkIjoiOGFiNTBmY2FlMjhiZGFjYjFiNjliY2E5YmNhZTZjMGUiLCJ1c2VySWQiOiIzNzUxMzg1ODcifQ==</vt:lpwstr>
  </property>
</Properties>
</file>